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D65A" w14:textId="37AC79C3" w:rsidR="00EA387F" w:rsidRDefault="00EA387F"/>
    <w:p w14:paraId="034A2613" w14:textId="7B42E362" w:rsidR="00EA387F" w:rsidRDefault="00EA387F" w:rsidP="00EA387F">
      <w:pPr>
        <w:tabs>
          <w:tab w:val="left" w:pos="720"/>
          <w:tab w:val="left" w:pos="1440"/>
          <w:tab w:val="right" w:leader="dot" w:pos="8640"/>
        </w:tabs>
        <w:jc w:val="center"/>
        <w:rPr>
          <w:rFonts w:ascii="Arial" w:hAnsi="Arial" w:cs="Arial"/>
          <w:b/>
        </w:rPr>
      </w:pPr>
      <w:r w:rsidRPr="005359A8">
        <w:rPr>
          <w:rFonts w:ascii="Arial" w:hAnsi="Arial" w:cs="Arial"/>
          <w:b/>
        </w:rPr>
        <w:t xml:space="preserve">Framework for </w:t>
      </w:r>
      <w:r>
        <w:rPr>
          <w:rFonts w:ascii="Arial" w:hAnsi="Arial" w:cs="Arial"/>
          <w:b/>
        </w:rPr>
        <w:t xml:space="preserve">Entry to Practice </w:t>
      </w:r>
      <w:r w:rsidRPr="005359A8">
        <w:rPr>
          <w:rFonts w:ascii="Arial" w:hAnsi="Arial" w:cs="Arial"/>
          <w:b/>
        </w:rPr>
        <w:t>Supervision</w:t>
      </w:r>
      <w:r>
        <w:rPr>
          <w:rFonts w:ascii="Arial" w:hAnsi="Arial" w:cs="Arial"/>
          <w:b/>
        </w:rPr>
        <w:t xml:space="preserve"> by </w:t>
      </w:r>
    </w:p>
    <w:p w14:paraId="4EA3562E" w14:textId="77777777" w:rsidR="00EA387F" w:rsidRDefault="00EA387F" w:rsidP="00EA387F">
      <w:pPr>
        <w:tabs>
          <w:tab w:val="left" w:pos="720"/>
          <w:tab w:val="left" w:pos="1440"/>
          <w:tab w:val="right" w:leader="dot" w:pos="8640"/>
        </w:tabs>
        <w:jc w:val="center"/>
        <w:rPr>
          <w:rFonts w:ascii="Arial" w:hAnsi="Arial" w:cs="Arial"/>
          <w:b/>
        </w:rPr>
      </w:pPr>
      <w:r>
        <w:rPr>
          <w:rFonts w:ascii="Arial" w:hAnsi="Arial" w:cs="Arial"/>
          <w:b/>
        </w:rPr>
        <w:t>Physiotherapy Regulators in Canada</w:t>
      </w:r>
    </w:p>
    <w:p w14:paraId="501A12CC" w14:textId="7F44A9CE" w:rsidR="00FD215E" w:rsidRDefault="00FD215E" w:rsidP="00EA387F">
      <w:pPr>
        <w:tabs>
          <w:tab w:val="left" w:pos="720"/>
          <w:tab w:val="left" w:pos="1440"/>
          <w:tab w:val="right" w:leader="dot" w:pos="8640"/>
        </w:tabs>
        <w:jc w:val="center"/>
        <w:rPr>
          <w:rFonts w:ascii="Arial" w:hAnsi="Arial" w:cs="Arial"/>
          <w:b/>
        </w:rPr>
      </w:pPr>
      <w:r>
        <w:rPr>
          <w:rFonts w:ascii="Arial" w:hAnsi="Arial" w:cs="Arial"/>
          <w:b/>
        </w:rPr>
        <w:t>FINAL</w:t>
      </w:r>
    </w:p>
    <w:p w14:paraId="1350010A" w14:textId="0833477D" w:rsidR="00FD215E" w:rsidRDefault="00FD215E" w:rsidP="00EA387F">
      <w:pPr>
        <w:tabs>
          <w:tab w:val="left" w:pos="720"/>
          <w:tab w:val="left" w:pos="1440"/>
          <w:tab w:val="right" w:leader="dot" w:pos="8640"/>
        </w:tabs>
        <w:jc w:val="center"/>
        <w:rPr>
          <w:rFonts w:ascii="Arial" w:hAnsi="Arial" w:cs="Arial"/>
          <w:b/>
        </w:rPr>
      </w:pPr>
      <w:r>
        <w:rPr>
          <w:rFonts w:ascii="Arial" w:hAnsi="Arial" w:cs="Arial"/>
          <w:b/>
        </w:rPr>
        <w:t>December 16, 2014</w:t>
      </w:r>
    </w:p>
    <w:p w14:paraId="5A4A0CEF" w14:textId="77777777" w:rsidR="00EA6A56" w:rsidRDefault="00EA6A56" w:rsidP="00EA387F">
      <w:pPr>
        <w:tabs>
          <w:tab w:val="left" w:pos="720"/>
          <w:tab w:val="left" w:pos="1440"/>
          <w:tab w:val="right" w:leader="dot" w:pos="8640"/>
        </w:tabs>
        <w:jc w:val="center"/>
        <w:rPr>
          <w:rFonts w:ascii="Arial" w:hAnsi="Arial" w:cs="Arial"/>
          <w:b/>
        </w:rPr>
      </w:pPr>
    </w:p>
    <w:p w14:paraId="3B25F5DE" w14:textId="77777777" w:rsidR="00EA6A56" w:rsidRDefault="00EA6A56" w:rsidP="00EA6A56">
      <w:pPr>
        <w:tabs>
          <w:tab w:val="left" w:pos="720"/>
          <w:tab w:val="left" w:pos="1440"/>
          <w:tab w:val="right" w:leader="dot" w:pos="8640"/>
        </w:tabs>
        <w:rPr>
          <w:rFonts w:ascii="Arial" w:hAnsi="Arial" w:cs="Arial"/>
          <w:b/>
        </w:rPr>
      </w:pPr>
    </w:p>
    <w:p w14:paraId="3A560A49" w14:textId="6D1FD7A8" w:rsidR="00EA6A56" w:rsidRPr="00FD719A" w:rsidRDefault="00EA6A56" w:rsidP="00EA6A5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Background</w:t>
      </w:r>
      <w:r w:rsidRPr="00FD719A">
        <w:rPr>
          <w:rFonts w:ascii="Arial" w:hAnsi="Arial" w:cs="Arial"/>
          <w:b/>
        </w:rPr>
        <w:t>:</w:t>
      </w:r>
    </w:p>
    <w:p w14:paraId="11D554AF" w14:textId="77777777" w:rsidR="00EA6A56" w:rsidRDefault="00EA6A56" w:rsidP="00EA6A56">
      <w:pPr>
        <w:pStyle w:val="Default"/>
        <w:rPr>
          <w:rFonts w:ascii="Arial" w:hAnsi="Arial" w:cs="Arial"/>
          <w:sz w:val="22"/>
          <w:szCs w:val="22"/>
        </w:rPr>
      </w:pPr>
    </w:p>
    <w:p w14:paraId="65DF1B44" w14:textId="182BF306" w:rsidR="00EA6A56" w:rsidRPr="00D65146" w:rsidRDefault="006C799B" w:rsidP="00D65146">
      <w:pPr>
        <w:tabs>
          <w:tab w:val="left" w:pos="720"/>
          <w:tab w:val="left" w:pos="1440"/>
          <w:tab w:val="right" w:leader="dot" w:pos="8640"/>
        </w:tabs>
        <w:rPr>
          <w:rFonts w:ascii="Arial" w:hAnsi="Arial" w:cs="Arial"/>
        </w:rPr>
      </w:pPr>
      <w:r>
        <w:rPr>
          <w:rFonts w:ascii="Arial" w:hAnsi="Arial" w:cs="Arial"/>
        </w:rPr>
        <w:t>A</w:t>
      </w:r>
      <w:r w:rsidR="00EA6A56">
        <w:rPr>
          <w:rFonts w:ascii="Arial" w:hAnsi="Arial" w:cs="Arial"/>
        </w:rPr>
        <w:t xml:space="preserve"> literature review </w:t>
      </w:r>
      <w:r>
        <w:rPr>
          <w:rFonts w:ascii="Arial" w:hAnsi="Arial" w:cs="Arial"/>
        </w:rPr>
        <w:t>commissioned by The Canadian Allia</w:t>
      </w:r>
      <w:r w:rsidR="007732B0">
        <w:rPr>
          <w:rFonts w:ascii="Arial" w:hAnsi="Arial" w:cs="Arial"/>
        </w:rPr>
        <w:t>nce of Physiotherapy Regulators’</w:t>
      </w:r>
      <w:r>
        <w:rPr>
          <w:rFonts w:ascii="Arial" w:hAnsi="Arial" w:cs="Arial"/>
        </w:rPr>
        <w:t xml:space="preserve"> (The Alliance) Registrars’ Committee </w:t>
      </w:r>
      <w:r w:rsidR="00EA6A56">
        <w:rPr>
          <w:rFonts w:ascii="Arial" w:hAnsi="Arial" w:cs="Arial"/>
        </w:rPr>
        <w:t>identified a number of specific needs/issues asso</w:t>
      </w:r>
      <w:r>
        <w:rPr>
          <w:rFonts w:ascii="Arial" w:hAnsi="Arial" w:cs="Arial"/>
        </w:rPr>
        <w:t xml:space="preserve">ciated with each of </w:t>
      </w:r>
      <w:r w:rsidR="00EA6A56">
        <w:rPr>
          <w:rFonts w:ascii="Arial" w:hAnsi="Arial" w:cs="Arial"/>
        </w:rPr>
        <w:t>three target groups</w:t>
      </w:r>
      <w:r>
        <w:rPr>
          <w:rFonts w:ascii="Arial" w:hAnsi="Arial" w:cs="Arial"/>
        </w:rPr>
        <w:t xml:space="preserve"> that are candidates for supervised practice</w:t>
      </w:r>
      <w:r w:rsidR="00EA6A56">
        <w:rPr>
          <w:rFonts w:ascii="Arial" w:hAnsi="Arial" w:cs="Arial"/>
        </w:rPr>
        <w:t xml:space="preserve">. </w:t>
      </w:r>
      <w:r>
        <w:rPr>
          <w:rFonts w:ascii="Arial" w:hAnsi="Arial" w:cs="Arial"/>
        </w:rPr>
        <w:t xml:space="preserve"> 1) </w:t>
      </w:r>
      <w:r w:rsidR="00EA6A56">
        <w:rPr>
          <w:rFonts w:ascii="Arial" w:hAnsi="Arial" w:cs="Arial"/>
        </w:rPr>
        <w:t>For new graduates, t</w:t>
      </w:r>
      <w:r w:rsidR="00EA6A56" w:rsidRPr="00DF1D59">
        <w:rPr>
          <w:rFonts w:ascii="Arial" w:hAnsi="Arial" w:cs="Arial"/>
        </w:rPr>
        <w:t xml:space="preserve">he transition </w:t>
      </w:r>
      <w:r>
        <w:rPr>
          <w:rFonts w:ascii="Arial" w:hAnsi="Arial" w:cs="Arial"/>
        </w:rPr>
        <w:t xml:space="preserve">from training </w:t>
      </w:r>
      <w:r w:rsidR="00EA6A56" w:rsidRPr="00DF1D59">
        <w:rPr>
          <w:rFonts w:ascii="Arial" w:hAnsi="Arial" w:cs="Arial"/>
        </w:rPr>
        <w:t>to practice</w:t>
      </w:r>
      <w:r w:rsidR="00EA6A56">
        <w:rPr>
          <w:rFonts w:ascii="Arial" w:hAnsi="Arial" w:cs="Arial"/>
        </w:rPr>
        <w:t xml:space="preserve"> </w:t>
      </w:r>
      <w:r w:rsidR="00EA6A56" w:rsidRPr="00DF1D59">
        <w:rPr>
          <w:rFonts w:ascii="Arial" w:hAnsi="Arial" w:cs="Arial"/>
        </w:rPr>
        <w:t>can lead to feelings of stres</w:t>
      </w:r>
      <w:r w:rsidR="00EA6A56">
        <w:rPr>
          <w:rFonts w:ascii="Arial" w:hAnsi="Arial" w:cs="Arial"/>
        </w:rPr>
        <w:t>s,</w:t>
      </w:r>
      <w:r w:rsidR="00EA6A56" w:rsidRPr="00DF1D59">
        <w:rPr>
          <w:rFonts w:ascii="Arial" w:hAnsi="Arial" w:cs="Arial"/>
        </w:rPr>
        <w:t xml:space="preserve"> insecurity and potential safety issues</w:t>
      </w:r>
      <w:r w:rsidR="00EA6A56">
        <w:rPr>
          <w:rFonts w:ascii="Arial" w:hAnsi="Arial" w:cs="Arial"/>
        </w:rPr>
        <w:t>. This period also</w:t>
      </w:r>
      <w:r w:rsidR="00EA6A56" w:rsidRPr="00DF1D59">
        <w:rPr>
          <w:rFonts w:ascii="Arial" w:hAnsi="Arial" w:cs="Arial"/>
        </w:rPr>
        <w:t xml:space="preserve"> involves a number of important stages necessary for the </w:t>
      </w:r>
      <w:r w:rsidR="007732B0">
        <w:rPr>
          <w:rFonts w:ascii="Arial" w:hAnsi="Arial" w:cs="Arial"/>
        </w:rPr>
        <w:t>development of the professional;</w:t>
      </w:r>
      <w:r w:rsidR="00EA6A56">
        <w:rPr>
          <w:rFonts w:ascii="Arial" w:hAnsi="Arial" w:cs="Arial"/>
        </w:rPr>
        <w:t xml:space="preserve"> </w:t>
      </w:r>
      <w:r w:rsidR="007732B0">
        <w:rPr>
          <w:rFonts w:ascii="Arial" w:hAnsi="Arial" w:cs="Arial"/>
        </w:rPr>
        <w:t xml:space="preserve">2) </w:t>
      </w:r>
      <w:r>
        <w:rPr>
          <w:rFonts w:ascii="Arial" w:hAnsi="Arial" w:cs="Arial"/>
        </w:rPr>
        <w:t xml:space="preserve"> </w:t>
      </w:r>
      <w:r w:rsidR="007732B0">
        <w:rPr>
          <w:rFonts w:ascii="Arial" w:hAnsi="Arial" w:cs="Arial"/>
          <w:lang w:val="en-GB"/>
        </w:rPr>
        <w:t>I</w:t>
      </w:r>
      <w:r w:rsidR="00EA6A56">
        <w:rPr>
          <w:rFonts w:ascii="Arial" w:hAnsi="Arial" w:cs="Arial"/>
          <w:lang w:val="en-GB"/>
        </w:rPr>
        <w:t>nternationally educated health professionals</w:t>
      </w:r>
      <w:r>
        <w:rPr>
          <w:rFonts w:ascii="Arial" w:hAnsi="Arial" w:cs="Arial"/>
          <w:lang w:val="en-GB"/>
        </w:rPr>
        <w:t xml:space="preserve"> (IEHPs), </w:t>
      </w:r>
      <w:r w:rsidR="00EA6A56" w:rsidRPr="00FE5E98">
        <w:rPr>
          <w:rFonts w:ascii="Arial" w:hAnsi="Arial" w:cs="Arial"/>
          <w:lang w:val="en-GB"/>
        </w:rPr>
        <w:t xml:space="preserve">entering the workforce </w:t>
      </w:r>
      <w:r w:rsidR="00EA6A56">
        <w:rPr>
          <w:rFonts w:ascii="Arial" w:hAnsi="Arial" w:cs="Arial"/>
          <w:lang w:val="en-GB"/>
        </w:rPr>
        <w:t xml:space="preserve">also experience challenges </w:t>
      </w:r>
      <w:r w:rsidR="00EA6A56" w:rsidRPr="00FE5E98">
        <w:rPr>
          <w:rFonts w:ascii="Arial" w:hAnsi="Arial" w:cs="Arial"/>
          <w:lang w:val="en-GB"/>
        </w:rPr>
        <w:t>including: language/communication and differences in practices (e.g., technology, autonomy</w:t>
      </w:r>
      <w:r w:rsidR="00EA6A56">
        <w:rPr>
          <w:rFonts w:ascii="Arial" w:hAnsi="Arial" w:cs="Arial"/>
          <w:lang w:val="en-GB"/>
        </w:rPr>
        <w:t>,</w:t>
      </w:r>
      <w:r w:rsidR="00EA6A56" w:rsidRPr="00FE5E98">
        <w:rPr>
          <w:rFonts w:ascii="Arial" w:hAnsi="Arial" w:cs="Arial"/>
          <w:lang w:val="en-GB"/>
        </w:rPr>
        <w:t xml:space="preserve"> accountability and scope) that can affect professional relationships and potentially patient safety</w:t>
      </w:r>
      <w:r w:rsidR="007732B0">
        <w:rPr>
          <w:rFonts w:ascii="Arial" w:hAnsi="Arial" w:cs="Arial"/>
          <w:lang w:val="en-GB"/>
        </w:rPr>
        <w:t>; and</w:t>
      </w:r>
      <w:r w:rsidR="00EA6A56">
        <w:rPr>
          <w:rFonts w:ascii="Arial" w:hAnsi="Arial" w:cs="Arial"/>
          <w:lang w:val="en-GB"/>
        </w:rPr>
        <w:t xml:space="preserve"> </w:t>
      </w:r>
      <w:r>
        <w:rPr>
          <w:rFonts w:ascii="Arial" w:hAnsi="Arial" w:cs="Arial"/>
          <w:lang w:val="en-GB"/>
        </w:rPr>
        <w:t xml:space="preserve">3) </w:t>
      </w:r>
      <w:r w:rsidR="00EA6A56">
        <w:rPr>
          <w:rFonts w:ascii="Arial" w:hAnsi="Arial" w:cs="Arial"/>
          <w:color w:val="000000"/>
        </w:rPr>
        <w:t>R</w:t>
      </w:r>
      <w:r w:rsidR="00EA6A56" w:rsidRPr="0060574E">
        <w:rPr>
          <w:rFonts w:ascii="Arial" w:hAnsi="Arial" w:cs="Arial"/>
          <w:color w:val="000000"/>
        </w:rPr>
        <w:t>e</w:t>
      </w:r>
      <w:r w:rsidR="00EA6A56">
        <w:rPr>
          <w:rFonts w:ascii="Arial" w:hAnsi="Arial" w:cs="Arial"/>
          <w:color w:val="000000"/>
        </w:rPr>
        <w:t>-</w:t>
      </w:r>
      <w:r w:rsidR="00EA6A56" w:rsidRPr="0060574E">
        <w:rPr>
          <w:rFonts w:ascii="Arial" w:hAnsi="Arial" w:cs="Arial"/>
          <w:color w:val="000000"/>
        </w:rPr>
        <w:t xml:space="preserve">entry candidates have special issues/needs when they return to work </w:t>
      </w:r>
      <w:r w:rsidR="00EA6A56">
        <w:rPr>
          <w:rFonts w:ascii="Arial" w:hAnsi="Arial" w:cs="Arial"/>
          <w:color w:val="000000"/>
        </w:rPr>
        <w:t>that include</w:t>
      </w:r>
      <w:r w:rsidR="00EA6A56" w:rsidRPr="0060574E">
        <w:rPr>
          <w:rFonts w:ascii="Arial" w:hAnsi="Arial" w:cs="Arial"/>
          <w:color w:val="000000"/>
        </w:rPr>
        <w:t xml:space="preserve"> f</w:t>
      </w:r>
      <w:r>
        <w:rPr>
          <w:rFonts w:ascii="Arial" w:hAnsi="Arial" w:cs="Arial"/>
          <w:color w:val="000000"/>
        </w:rPr>
        <w:t>eelings of anxiety and low self-</w:t>
      </w:r>
      <w:r w:rsidR="00EA6A56" w:rsidRPr="0060574E">
        <w:rPr>
          <w:rFonts w:ascii="Arial" w:hAnsi="Arial" w:cs="Arial"/>
          <w:color w:val="000000"/>
        </w:rPr>
        <w:t>esteem, as well as</w:t>
      </w:r>
      <w:r w:rsidR="007732B0">
        <w:rPr>
          <w:rFonts w:ascii="Arial" w:hAnsi="Arial" w:cs="Arial"/>
          <w:color w:val="000000"/>
        </w:rPr>
        <w:t xml:space="preserve"> a</w:t>
      </w:r>
      <w:r w:rsidR="00EA6A56" w:rsidRPr="0060574E">
        <w:rPr>
          <w:rFonts w:ascii="Arial" w:hAnsi="Arial" w:cs="Arial"/>
          <w:color w:val="000000"/>
        </w:rPr>
        <w:t xml:space="preserve"> desire for flexible programs</w:t>
      </w:r>
      <w:r w:rsidR="00EA6A56">
        <w:rPr>
          <w:rFonts w:ascii="Arial" w:hAnsi="Arial" w:cs="Arial"/>
          <w:color w:val="000000"/>
        </w:rPr>
        <w:t xml:space="preserve">. In terms of best practices in entry level supervision, </w:t>
      </w:r>
      <w:r w:rsidR="00EA6A56" w:rsidRPr="00DF1D59">
        <w:rPr>
          <w:rFonts w:ascii="Arial" w:hAnsi="Arial" w:cs="Arial"/>
        </w:rPr>
        <w:t>programs involving role models and mentors can play an important rol</w:t>
      </w:r>
      <w:r w:rsidR="00EA6A56">
        <w:rPr>
          <w:rFonts w:ascii="Arial" w:hAnsi="Arial" w:cs="Arial"/>
        </w:rPr>
        <w:t xml:space="preserve">e in facilitating entry or re-entry to practice and </w:t>
      </w:r>
      <w:r w:rsidR="00EA6A56">
        <w:rPr>
          <w:rFonts w:ascii="Arial" w:hAnsi="Arial" w:cs="Arial"/>
          <w:szCs w:val="18"/>
        </w:rPr>
        <w:t>a</w:t>
      </w:r>
      <w:r w:rsidR="00EA6A56" w:rsidRPr="009701F7">
        <w:rPr>
          <w:rFonts w:ascii="Arial" w:hAnsi="Arial" w:cs="Arial"/>
          <w:szCs w:val="18"/>
        </w:rPr>
        <w:t xml:space="preserve"> shift towards more structured transition program</w:t>
      </w:r>
      <w:r w:rsidR="00EA6A56">
        <w:rPr>
          <w:rFonts w:ascii="Arial" w:hAnsi="Arial" w:cs="Arial"/>
          <w:szCs w:val="18"/>
        </w:rPr>
        <w:t>s</w:t>
      </w:r>
      <w:r w:rsidR="00EA6A56" w:rsidRPr="009701F7">
        <w:rPr>
          <w:rFonts w:ascii="Arial" w:hAnsi="Arial" w:cs="Arial"/>
          <w:szCs w:val="18"/>
        </w:rPr>
        <w:t xml:space="preserve"> for new graduates</w:t>
      </w:r>
      <w:r w:rsidR="00EA6A56">
        <w:rPr>
          <w:rFonts w:ascii="Arial" w:hAnsi="Arial" w:cs="Arial"/>
          <w:szCs w:val="18"/>
        </w:rPr>
        <w:t xml:space="preserve"> and internationally educated health professionals was noted. </w:t>
      </w:r>
      <w:r w:rsidR="00EA6A56">
        <w:rPr>
          <w:rFonts w:ascii="Arial" w:hAnsi="Arial" w:cs="Arial"/>
        </w:rPr>
        <w:t xml:space="preserve">  Consistency through an evidence-informed framework is needed to help each group succeed in professional practice.  </w:t>
      </w:r>
    </w:p>
    <w:p w14:paraId="6B2E1427" w14:textId="77777777" w:rsidR="00EA387F" w:rsidRDefault="00EA387F" w:rsidP="00EA387F">
      <w:pPr>
        <w:tabs>
          <w:tab w:val="left" w:pos="720"/>
          <w:tab w:val="left" w:pos="1440"/>
          <w:tab w:val="right" w:leader="dot" w:pos="8640"/>
        </w:tabs>
        <w:rPr>
          <w:rFonts w:ascii="Arial" w:hAnsi="Arial" w:cs="Arial"/>
          <w:b/>
        </w:rPr>
      </w:pPr>
    </w:p>
    <w:p w14:paraId="61C80D28" w14:textId="77777777" w:rsidR="00EA387F" w:rsidRPr="00FD719A" w:rsidRDefault="00EA387F" w:rsidP="00EA387F">
      <w:pPr>
        <w:pBdr>
          <w:top w:val="single" w:sz="4" w:space="1" w:color="auto"/>
          <w:left w:val="single" w:sz="4" w:space="4" w:color="auto"/>
          <w:bottom w:val="single" w:sz="4" w:space="1" w:color="auto"/>
          <w:right w:val="single" w:sz="4" w:space="4" w:color="auto"/>
        </w:pBdr>
        <w:rPr>
          <w:rFonts w:ascii="Arial" w:hAnsi="Arial" w:cs="Arial"/>
          <w:b/>
        </w:rPr>
      </w:pPr>
      <w:r w:rsidRPr="00FD719A">
        <w:rPr>
          <w:rFonts w:ascii="Arial" w:hAnsi="Arial" w:cs="Arial"/>
          <w:b/>
        </w:rPr>
        <w:t>Purpose:</w:t>
      </w:r>
    </w:p>
    <w:p w14:paraId="52ADB470" w14:textId="77777777" w:rsidR="00EA387F" w:rsidRDefault="00EA387F" w:rsidP="00EA387F">
      <w:pPr>
        <w:pStyle w:val="Default"/>
        <w:rPr>
          <w:rFonts w:ascii="Arial" w:hAnsi="Arial" w:cs="Arial"/>
          <w:sz w:val="22"/>
          <w:szCs w:val="22"/>
        </w:rPr>
      </w:pPr>
    </w:p>
    <w:p w14:paraId="6CEFFEA8" w14:textId="26885FB1" w:rsidR="00EA387F" w:rsidRDefault="00EA387F" w:rsidP="00EA387F">
      <w:pPr>
        <w:pStyle w:val="Default"/>
        <w:rPr>
          <w:rFonts w:ascii="Arial" w:hAnsi="Arial" w:cs="Arial"/>
          <w:sz w:val="22"/>
          <w:szCs w:val="22"/>
        </w:rPr>
      </w:pPr>
      <w:r>
        <w:rPr>
          <w:rFonts w:ascii="Arial" w:hAnsi="Arial" w:cs="Arial"/>
          <w:sz w:val="22"/>
          <w:szCs w:val="22"/>
        </w:rPr>
        <w:t>The purpose of entry to practice</w:t>
      </w:r>
      <w:r w:rsidRPr="00FD719A">
        <w:rPr>
          <w:rFonts w:ascii="Arial" w:hAnsi="Arial" w:cs="Arial"/>
          <w:sz w:val="22"/>
          <w:szCs w:val="22"/>
        </w:rPr>
        <w:t xml:space="preserve"> supervision</w:t>
      </w:r>
      <w:r>
        <w:rPr>
          <w:rFonts w:ascii="Arial" w:hAnsi="Arial" w:cs="Arial"/>
          <w:sz w:val="22"/>
          <w:szCs w:val="22"/>
        </w:rPr>
        <w:t xml:space="preserve"> in physiotherapy is to protect</w:t>
      </w:r>
      <w:r w:rsidRPr="00FD719A">
        <w:rPr>
          <w:rFonts w:ascii="Arial" w:hAnsi="Arial" w:cs="Arial"/>
          <w:sz w:val="22"/>
          <w:szCs w:val="22"/>
        </w:rPr>
        <w:t xml:space="preserve"> the public</w:t>
      </w:r>
      <w:r>
        <w:rPr>
          <w:rFonts w:ascii="Arial" w:hAnsi="Arial" w:cs="Arial"/>
          <w:sz w:val="22"/>
          <w:szCs w:val="22"/>
        </w:rPr>
        <w:t xml:space="preserve"> </w:t>
      </w:r>
      <w:r w:rsidRPr="00FD719A">
        <w:rPr>
          <w:rFonts w:ascii="Arial" w:hAnsi="Arial" w:cs="Arial"/>
          <w:sz w:val="22"/>
          <w:szCs w:val="22"/>
        </w:rPr>
        <w:t>during a per</w:t>
      </w:r>
      <w:r>
        <w:rPr>
          <w:rFonts w:ascii="Arial" w:hAnsi="Arial" w:cs="Arial"/>
          <w:sz w:val="22"/>
          <w:szCs w:val="22"/>
        </w:rPr>
        <w:t xml:space="preserve">iod of temporary licensure when a registrant has not met </w:t>
      </w:r>
      <w:r w:rsidRPr="00FD719A">
        <w:rPr>
          <w:rFonts w:ascii="Arial" w:hAnsi="Arial" w:cs="Arial"/>
          <w:sz w:val="22"/>
          <w:szCs w:val="22"/>
        </w:rPr>
        <w:t>all of the requirements f</w:t>
      </w:r>
      <w:r>
        <w:rPr>
          <w:rFonts w:ascii="Arial" w:hAnsi="Arial" w:cs="Arial"/>
          <w:sz w:val="22"/>
          <w:szCs w:val="22"/>
        </w:rPr>
        <w:t>or independent practice.</w:t>
      </w:r>
    </w:p>
    <w:p w14:paraId="7F37CF0A" w14:textId="77777777" w:rsidR="005714F4" w:rsidRDefault="005714F4" w:rsidP="00EA387F">
      <w:pPr>
        <w:pStyle w:val="Default"/>
        <w:rPr>
          <w:rFonts w:ascii="Arial" w:hAnsi="Arial" w:cs="Arial"/>
          <w:sz w:val="22"/>
          <w:szCs w:val="22"/>
        </w:rPr>
      </w:pPr>
    </w:p>
    <w:p w14:paraId="4E09684B" w14:textId="77777777" w:rsidR="00EA387F" w:rsidRPr="00FD215E" w:rsidRDefault="00EA387F" w:rsidP="00EA387F">
      <w:pPr>
        <w:pStyle w:val="Default"/>
        <w:rPr>
          <w:rFonts w:ascii="Arial" w:hAnsi="Arial" w:cs="Arial"/>
          <w:sz w:val="22"/>
          <w:szCs w:val="22"/>
        </w:rPr>
      </w:pPr>
      <w:r w:rsidRPr="00FD215E">
        <w:rPr>
          <w:rFonts w:ascii="Arial" w:hAnsi="Arial" w:cs="Arial"/>
          <w:sz w:val="22"/>
          <w:szCs w:val="22"/>
        </w:rPr>
        <w:t xml:space="preserve">The purpose of this </w:t>
      </w:r>
      <w:r w:rsidRPr="00FD215E">
        <w:rPr>
          <w:rFonts w:ascii="Arial" w:hAnsi="Arial" w:cs="Arial"/>
          <w:i/>
          <w:sz w:val="22"/>
          <w:szCs w:val="22"/>
        </w:rPr>
        <w:t xml:space="preserve">Framework for a Harmonized Approach to Entry to Practice Supervision by Physiotherapy Regulators in Canada </w:t>
      </w:r>
      <w:r w:rsidRPr="00FD215E">
        <w:rPr>
          <w:rFonts w:ascii="Arial" w:hAnsi="Arial" w:cs="Arial"/>
          <w:sz w:val="22"/>
          <w:szCs w:val="22"/>
        </w:rPr>
        <w:t>(Framework) is to:</w:t>
      </w:r>
    </w:p>
    <w:p w14:paraId="29D71180" w14:textId="7371307B" w:rsidR="0081637C" w:rsidRPr="00FD215E" w:rsidRDefault="0081637C" w:rsidP="00EA387F">
      <w:pPr>
        <w:pStyle w:val="Default"/>
        <w:numPr>
          <w:ilvl w:val="0"/>
          <w:numId w:val="11"/>
        </w:numPr>
        <w:rPr>
          <w:rFonts w:ascii="Arial" w:hAnsi="Arial" w:cs="Arial"/>
          <w:sz w:val="22"/>
          <w:szCs w:val="22"/>
        </w:rPr>
      </w:pPr>
      <w:r w:rsidRPr="00FD215E">
        <w:rPr>
          <w:rFonts w:ascii="Arial" w:hAnsi="Arial" w:cs="Arial"/>
          <w:sz w:val="22"/>
          <w:szCs w:val="22"/>
        </w:rPr>
        <w:t>Set out evidence-informed best practice regarding the supervision of physiotherapists on temporary licenses that can serve as a model of regulatory requirements across the country;</w:t>
      </w:r>
    </w:p>
    <w:p w14:paraId="59F2E96D" w14:textId="098F5F32" w:rsidR="00EA387F" w:rsidRPr="00FD215E" w:rsidRDefault="00EA387F" w:rsidP="00EA387F">
      <w:pPr>
        <w:pStyle w:val="Default"/>
        <w:numPr>
          <w:ilvl w:val="0"/>
          <w:numId w:val="11"/>
        </w:numPr>
        <w:rPr>
          <w:rFonts w:ascii="Arial" w:hAnsi="Arial" w:cs="Arial"/>
          <w:sz w:val="22"/>
          <w:szCs w:val="22"/>
        </w:rPr>
      </w:pPr>
      <w:r w:rsidRPr="00FD215E">
        <w:rPr>
          <w:rFonts w:ascii="Arial" w:hAnsi="Arial" w:cs="Arial"/>
          <w:sz w:val="22"/>
          <w:szCs w:val="22"/>
        </w:rPr>
        <w:t>promote consistency and best practices in entry to practice supervision approaches throughout Canada</w:t>
      </w:r>
      <w:r w:rsidR="0081637C" w:rsidRPr="00FD215E">
        <w:rPr>
          <w:rFonts w:ascii="Arial" w:hAnsi="Arial" w:cs="Arial"/>
          <w:sz w:val="22"/>
          <w:szCs w:val="22"/>
        </w:rPr>
        <w:t xml:space="preserve"> without guaranteeing sameness</w:t>
      </w:r>
      <w:r w:rsidR="0081637C" w:rsidRPr="00FD215E">
        <w:rPr>
          <w:rStyle w:val="FootnoteReference"/>
          <w:rFonts w:ascii="Arial" w:hAnsi="Arial" w:cs="Arial"/>
          <w:sz w:val="22"/>
          <w:szCs w:val="22"/>
        </w:rPr>
        <w:footnoteReference w:id="1"/>
      </w:r>
      <w:r w:rsidRPr="00FD215E">
        <w:rPr>
          <w:rFonts w:ascii="Arial" w:hAnsi="Arial" w:cs="Arial"/>
          <w:sz w:val="22"/>
          <w:szCs w:val="22"/>
        </w:rPr>
        <w:t>;</w:t>
      </w:r>
    </w:p>
    <w:p w14:paraId="56F1CED1" w14:textId="58CBCFE2" w:rsidR="00EA387F" w:rsidRDefault="00EA387F" w:rsidP="00EA387F">
      <w:pPr>
        <w:pStyle w:val="Default"/>
        <w:numPr>
          <w:ilvl w:val="0"/>
          <w:numId w:val="11"/>
        </w:numPr>
        <w:rPr>
          <w:rFonts w:ascii="Arial" w:hAnsi="Arial" w:cs="Arial"/>
          <w:sz w:val="22"/>
          <w:szCs w:val="22"/>
        </w:rPr>
      </w:pPr>
      <w:r w:rsidRPr="001A3A02">
        <w:rPr>
          <w:rFonts w:ascii="Arial" w:hAnsi="Arial" w:cs="Arial"/>
          <w:sz w:val="22"/>
          <w:szCs w:val="22"/>
        </w:rPr>
        <w:t xml:space="preserve">support </w:t>
      </w:r>
      <w:proofErr w:type="spellStart"/>
      <w:r w:rsidRPr="001A3A02">
        <w:rPr>
          <w:rFonts w:ascii="Arial" w:hAnsi="Arial" w:cs="Arial"/>
          <w:sz w:val="22"/>
          <w:szCs w:val="22"/>
        </w:rPr>
        <w:t>labour</w:t>
      </w:r>
      <w:proofErr w:type="spellEnd"/>
      <w:r w:rsidRPr="001A3A02">
        <w:rPr>
          <w:rFonts w:ascii="Arial" w:hAnsi="Arial" w:cs="Arial"/>
          <w:sz w:val="22"/>
          <w:szCs w:val="22"/>
        </w:rPr>
        <w:t xml:space="preserve"> mobility across jurisdictions</w:t>
      </w:r>
      <w:r>
        <w:rPr>
          <w:rFonts w:ascii="Arial" w:hAnsi="Arial" w:cs="Arial"/>
          <w:sz w:val="22"/>
          <w:szCs w:val="22"/>
        </w:rPr>
        <w:t xml:space="preserve"> in Canada;</w:t>
      </w:r>
    </w:p>
    <w:p w14:paraId="15980810" w14:textId="77777777" w:rsidR="00EA387F" w:rsidRDefault="00EA387F" w:rsidP="00EA387F">
      <w:pPr>
        <w:pStyle w:val="Default"/>
        <w:numPr>
          <w:ilvl w:val="0"/>
          <w:numId w:val="11"/>
        </w:numPr>
        <w:rPr>
          <w:rFonts w:ascii="Arial" w:hAnsi="Arial" w:cs="Arial"/>
          <w:sz w:val="22"/>
          <w:szCs w:val="22"/>
        </w:rPr>
      </w:pPr>
      <w:r>
        <w:rPr>
          <w:rFonts w:ascii="Arial" w:hAnsi="Arial" w:cs="Arial"/>
          <w:sz w:val="22"/>
          <w:szCs w:val="22"/>
        </w:rPr>
        <w:t>clarify practice expectations and requirements for newly-registered physiotherapists, be it Canadian, or internationally-trained</w:t>
      </w:r>
      <w:r w:rsidRPr="001A3A02">
        <w:rPr>
          <w:rFonts w:ascii="Arial" w:hAnsi="Arial" w:cs="Arial"/>
          <w:sz w:val="22"/>
          <w:szCs w:val="22"/>
        </w:rPr>
        <w:t>.</w:t>
      </w:r>
    </w:p>
    <w:p w14:paraId="047A0304" w14:textId="77777777" w:rsidR="00EA387F" w:rsidRDefault="00EA387F" w:rsidP="00EA387F">
      <w:pPr>
        <w:pStyle w:val="Default"/>
        <w:rPr>
          <w:rFonts w:ascii="Arial" w:hAnsi="Arial" w:cs="Arial"/>
          <w:sz w:val="22"/>
          <w:szCs w:val="22"/>
        </w:rPr>
      </w:pPr>
    </w:p>
    <w:p w14:paraId="79AE8317" w14:textId="77777777" w:rsidR="0081637C" w:rsidRDefault="0081637C" w:rsidP="0081637C">
      <w:pPr>
        <w:rPr>
          <w:rFonts w:ascii="Arial" w:hAnsi="Arial" w:cs="Arial"/>
        </w:rPr>
      </w:pPr>
    </w:p>
    <w:p w14:paraId="51FBF282" w14:textId="77777777" w:rsidR="0081637C" w:rsidRDefault="0081637C" w:rsidP="0081637C">
      <w:pPr>
        <w:rPr>
          <w:rFonts w:ascii="Arial" w:hAnsi="Arial" w:cs="Arial"/>
        </w:rPr>
      </w:pPr>
    </w:p>
    <w:p w14:paraId="499333AD" w14:textId="77777777" w:rsidR="0081637C" w:rsidRDefault="0081637C" w:rsidP="0081637C">
      <w:pPr>
        <w:rPr>
          <w:rFonts w:ascii="Arial" w:hAnsi="Arial" w:cs="Arial"/>
        </w:rPr>
      </w:pPr>
    </w:p>
    <w:p w14:paraId="2F325482" w14:textId="77777777" w:rsidR="0081637C" w:rsidRDefault="0081637C" w:rsidP="0081637C">
      <w:pPr>
        <w:rPr>
          <w:rFonts w:ascii="Arial" w:hAnsi="Arial" w:cs="Arial"/>
        </w:rPr>
      </w:pPr>
    </w:p>
    <w:p w14:paraId="36E809A2" w14:textId="77777777" w:rsidR="0081637C" w:rsidRDefault="0081637C" w:rsidP="0081637C">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37A33C8E" wp14:editId="0C56E915">
                <wp:simplePos x="0" y="0"/>
                <wp:positionH relativeFrom="margin">
                  <wp:posOffset>-47625</wp:posOffset>
                </wp:positionH>
                <wp:positionV relativeFrom="paragraph">
                  <wp:posOffset>126895</wp:posOffset>
                </wp:positionV>
                <wp:extent cx="6012180" cy="251901"/>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6012180" cy="25190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B3485" w14:textId="77777777" w:rsidR="0081637C" w:rsidRPr="001A3A02" w:rsidRDefault="0081637C" w:rsidP="0081637C">
                            <w:pPr>
                              <w:rPr>
                                <w:rFonts w:ascii="Arial" w:hAnsi="Arial" w:cs="Arial"/>
                                <w:b/>
                              </w:rPr>
                            </w:pPr>
                            <w:r w:rsidRPr="001A3A02">
                              <w:rPr>
                                <w:rFonts w:ascii="Arial" w:hAnsi="Arial" w:cs="Arial"/>
                                <w:b/>
                              </w:rPr>
                              <w:t>Scope:</w:t>
                            </w:r>
                          </w:p>
                          <w:p w14:paraId="10FA9EE5" w14:textId="77777777" w:rsidR="0081637C" w:rsidRDefault="0081637C" w:rsidP="00816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33C8E" id="_x0000_t202" coordsize="21600,21600" o:spt="202" path="m,l,21600r21600,l21600,xe">
                <v:stroke joinstyle="miter"/>
                <v:path gradientshapeok="t" o:connecttype="rect"/>
              </v:shapetype>
              <v:shape id="Text Box 3" o:spid="_x0000_s1026" type="#_x0000_t202" style="position:absolute;margin-left:-3.75pt;margin-top:10pt;width:473.4pt;height:19.8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" fillcolor="white [3201]">
                <v:textbox>
                  <w:txbxContent>
                    <w:p w14:paraId="475B3485" w14:textId="77777777" w:rsidR="0081637C" w:rsidRPr="001A3A02" w:rsidRDefault="0081637C" w:rsidP="0081637C">
                      <w:pPr>
                        <w:rPr>
                          <w:rFonts w:ascii="Arial" w:hAnsi="Arial" w:cs="Arial"/>
                          <w:b/>
                        </w:rPr>
                      </w:pPr>
                      <w:r w:rsidRPr="001A3A02">
                        <w:rPr>
                          <w:rFonts w:ascii="Arial" w:hAnsi="Arial" w:cs="Arial"/>
                          <w:b/>
                        </w:rPr>
                        <w:t>Scope:</w:t>
                      </w:r>
                    </w:p>
                    <w:p w14:paraId="10FA9EE5" w14:textId="77777777" w:rsidR="0081637C" w:rsidRDefault="0081637C" w:rsidP="0081637C"/>
                  </w:txbxContent>
                </v:textbox>
                <w10:wrap anchorx="margin"/>
              </v:shape>
            </w:pict>
          </mc:Fallback>
        </mc:AlternateContent>
      </w:r>
    </w:p>
    <w:p w14:paraId="7EC6647D" w14:textId="77777777" w:rsidR="0081637C" w:rsidRDefault="0081637C" w:rsidP="0081637C">
      <w:pPr>
        <w:rPr>
          <w:rFonts w:ascii="Arial" w:hAnsi="Arial" w:cs="Arial"/>
        </w:rPr>
      </w:pPr>
    </w:p>
    <w:p w14:paraId="1C0A0B0B" w14:textId="77777777" w:rsidR="0081637C" w:rsidRDefault="0081637C" w:rsidP="0081637C">
      <w:pPr>
        <w:rPr>
          <w:rFonts w:ascii="Arial" w:hAnsi="Arial" w:cs="Arial"/>
        </w:rPr>
      </w:pPr>
    </w:p>
    <w:p w14:paraId="485673BF" w14:textId="44B53AC6" w:rsidR="0081637C" w:rsidRDefault="0081637C" w:rsidP="0081637C">
      <w:pPr>
        <w:rPr>
          <w:rFonts w:ascii="Arial" w:hAnsi="Arial" w:cs="Arial"/>
        </w:rPr>
      </w:pPr>
      <w:r>
        <w:rPr>
          <w:rFonts w:ascii="Arial" w:hAnsi="Arial" w:cs="Arial"/>
        </w:rPr>
        <w:t>This Framework and its principles serve as a guide for all entry-to-practice supervisory relationships for all physiotherapy regulatory Colleges in Canada.  The Supervisory relationships apply primarily to first-time ph</w:t>
      </w:r>
      <w:r w:rsidR="000149E7">
        <w:rPr>
          <w:rFonts w:ascii="Arial" w:hAnsi="Arial" w:cs="Arial"/>
        </w:rPr>
        <w:t>ysiotherapists, either Canadian-</w:t>
      </w:r>
      <w:r>
        <w:rPr>
          <w:rFonts w:ascii="Arial" w:hAnsi="Arial" w:cs="Arial"/>
        </w:rPr>
        <w:t xml:space="preserve"> or internationally-trained. </w:t>
      </w:r>
    </w:p>
    <w:p w14:paraId="38E0BED7" w14:textId="77777777" w:rsidR="0081637C" w:rsidRDefault="0081637C" w:rsidP="0081637C">
      <w:pPr>
        <w:rPr>
          <w:rFonts w:ascii="Arial" w:hAnsi="Arial" w:cs="Arial"/>
        </w:rPr>
      </w:pPr>
    </w:p>
    <w:p w14:paraId="4885143B" w14:textId="37E36644" w:rsidR="0081637C" w:rsidRDefault="0081637C" w:rsidP="0081637C">
      <w:pPr>
        <w:rPr>
          <w:rFonts w:ascii="Arial" w:hAnsi="Arial" w:cs="Arial"/>
        </w:rPr>
      </w:pPr>
      <w:r w:rsidRPr="00FD215E">
        <w:rPr>
          <w:rFonts w:ascii="Arial" w:hAnsi="Arial" w:cs="Arial"/>
        </w:rPr>
        <w:t xml:space="preserve">The scope of this framework is limited to the </w:t>
      </w:r>
      <w:r w:rsidRPr="00FD215E">
        <w:rPr>
          <w:rFonts w:ascii="Arial" w:hAnsi="Arial" w:cs="Arial"/>
          <w:i/>
        </w:rPr>
        <w:t>supervision</w:t>
      </w:r>
      <w:r w:rsidRPr="00FD215E">
        <w:rPr>
          <w:rFonts w:ascii="Arial" w:hAnsi="Arial" w:cs="Arial"/>
        </w:rPr>
        <w:t xml:space="preserve"> of physiotherapists on temporary licenses and does not include best practices for </w:t>
      </w:r>
      <w:r w:rsidRPr="00FD215E">
        <w:rPr>
          <w:rFonts w:ascii="Arial" w:hAnsi="Arial" w:cs="Arial"/>
          <w:i/>
        </w:rPr>
        <w:t>mentorship</w:t>
      </w:r>
      <w:r w:rsidRPr="00FD215E">
        <w:rPr>
          <w:rFonts w:ascii="Arial" w:hAnsi="Arial" w:cs="Arial"/>
        </w:rPr>
        <w:t>.</w:t>
      </w:r>
      <w:r>
        <w:rPr>
          <w:rFonts w:ascii="Arial" w:hAnsi="Arial" w:cs="Arial"/>
        </w:rPr>
        <w:t xml:space="preserve">  </w:t>
      </w:r>
    </w:p>
    <w:p w14:paraId="3D1CB576" w14:textId="77777777" w:rsidR="00EA387F" w:rsidRPr="00FD719A" w:rsidRDefault="00EA387F" w:rsidP="00EA387F">
      <w:pPr>
        <w:pStyle w:val="Default"/>
        <w:rPr>
          <w:rFonts w:ascii="Arial" w:hAnsi="Arial" w:cs="Arial"/>
          <w:sz w:val="22"/>
          <w:szCs w:val="22"/>
        </w:rPr>
      </w:pPr>
    </w:p>
    <w:p w14:paraId="116A46B6" w14:textId="77777777" w:rsidR="00EA387F" w:rsidRPr="00FD719A" w:rsidRDefault="00EA387F" w:rsidP="00EA387F">
      <w:pPr>
        <w:pBdr>
          <w:top w:val="single" w:sz="4" w:space="1" w:color="auto"/>
          <w:left w:val="single" w:sz="4" w:space="4" w:color="auto"/>
          <w:bottom w:val="single" w:sz="4" w:space="1" w:color="auto"/>
          <w:right w:val="single" w:sz="4" w:space="4" w:color="auto"/>
        </w:pBdr>
        <w:rPr>
          <w:rFonts w:ascii="Arial" w:hAnsi="Arial" w:cs="Arial"/>
          <w:b/>
        </w:rPr>
      </w:pPr>
      <w:r w:rsidRPr="00FD719A">
        <w:rPr>
          <w:rFonts w:ascii="Arial" w:hAnsi="Arial" w:cs="Arial"/>
          <w:b/>
        </w:rPr>
        <w:t>Terminology</w:t>
      </w:r>
    </w:p>
    <w:p w14:paraId="35277B9A" w14:textId="77777777" w:rsidR="00EA387F" w:rsidRDefault="00EA387F" w:rsidP="00EA387F">
      <w:pPr>
        <w:rPr>
          <w:rFonts w:ascii="Arial" w:hAnsi="Arial" w:cs="Arial"/>
        </w:rPr>
      </w:pPr>
    </w:p>
    <w:p w14:paraId="46BD815C" w14:textId="77777777" w:rsidR="00EA387F" w:rsidRDefault="00EA387F" w:rsidP="00EA387F">
      <w:pPr>
        <w:rPr>
          <w:rFonts w:ascii="Arial" w:hAnsi="Arial" w:cs="Arial"/>
        </w:rPr>
      </w:pPr>
      <w:r w:rsidRPr="00FD719A">
        <w:rPr>
          <w:rFonts w:ascii="Arial" w:hAnsi="Arial" w:cs="Arial"/>
        </w:rPr>
        <w:t xml:space="preserve">The term “supervision” is used </w:t>
      </w:r>
      <w:r>
        <w:rPr>
          <w:rFonts w:ascii="Arial" w:hAnsi="Arial" w:cs="Arial"/>
        </w:rPr>
        <w:t xml:space="preserve">in this Framework </w:t>
      </w:r>
      <w:r w:rsidRPr="00FD719A">
        <w:rPr>
          <w:rFonts w:ascii="Arial" w:hAnsi="Arial" w:cs="Arial"/>
        </w:rPr>
        <w:t>to r</w:t>
      </w:r>
      <w:r>
        <w:rPr>
          <w:rFonts w:ascii="Arial" w:hAnsi="Arial" w:cs="Arial"/>
        </w:rPr>
        <w:t>efer generally to the</w:t>
      </w:r>
      <w:r w:rsidRPr="00FD719A">
        <w:rPr>
          <w:rFonts w:ascii="Arial" w:hAnsi="Arial" w:cs="Arial"/>
        </w:rPr>
        <w:t xml:space="preserve"> relationship that is established between a </w:t>
      </w:r>
      <w:r>
        <w:rPr>
          <w:rFonts w:ascii="Arial" w:hAnsi="Arial" w:cs="Arial"/>
        </w:rPr>
        <w:t xml:space="preserve">more experienced </w:t>
      </w:r>
      <w:r w:rsidRPr="00FD719A">
        <w:rPr>
          <w:rFonts w:ascii="Arial" w:hAnsi="Arial" w:cs="Arial"/>
        </w:rPr>
        <w:t>physiotherapist and an entry to practice physiotherapist who has met the</w:t>
      </w:r>
      <w:r>
        <w:rPr>
          <w:rFonts w:ascii="Arial" w:hAnsi="Arial" w:cs="Arial"/>
        </w:rPr>
        <w:t xml:space="preserve"> first stage of requirements for </w:t>
      </w:r>
      <w:r w:rsidRPr="00FD719A">
        <w:rPr>
          <w:rFonts w:ascii="Arial" w:hAnsi="Arial" w:cs="Arial"/>
        </w:rPr>
        <w:t xml:space="preserve">registration, but has not met all the requirements for full registration (independent practice) to ensure the protection of the public. Similarly, the terms “supervisor” and “supervisee” are used generically to describe the two participants in the supportive relationship. </w:t>
      </w:r>
    </w:p>
    <w:p w14:paraId="6F188C06" w14:textId="77777777" w:rsidR="00EA387F" w:rsidRDefault="00EA387F" w:rsidP="00EA387F">
      <w:pPr>
        <w:rPr>
          <w:rFonts w:ascii="Arial" w:hAnsi="Arial" w:cs="Arial"/>
        </w:rPr>
      </w:pPr>
    </w:p>
    <w:p w14:paraId="1BC0A7B6" w14:textId="77777777" w:rsidR="00EA387F" w:rsidRDefault="00EA387F" w:rsidP="00EA387F">
      <w:pPr>
        <w:rPr>
          <w:rFonts w:ascii="Arial" w:hAnsi="Arial" w:cs="Arial"/>
        </w:rPr>
      </w:pPr>
      <w:r>
        <w:rPr>
          <w:rFonts w:ascii="Arial" w:hAnsi="Arial" w:cs="Arial"/>
        </w:rPr>
        <w:t xml:space="preserve">For the purposes of this framework, the terms “applicant” and “supervisee” will be used interchangeably. </w:t>
      </w:r>
    </w:p>
    <w:p w14:paraId="340AAFBD" w14:textId="77777777" w:rsidR="00EA387F" w:rsidRPr="00FD719A" w:rsidRDefault="00EA387F" w:rsidP="00EA387F">
      <w:pPr>
        <w:rPr>
          <w:rFonts w:ascii="Arial" w:hAnsi="Arial" w:cs="Arial"/>
        </w:rPr>
      </w:pPr>
    </w:p>
    <w:p w14:paraId="1904A521" w14:textId="77777777" w:rsidR="00EA387F" w:rsidRPr="00FD719A" w:rsidRDefault="00EA387F" w:rsidP="00EA387F">
      <w:pPr>
        <w:pBdr>
          <w:top w:val="single" w:sz="4" w:space="1" w:color="auto"/>
          <w:left w:val="single" w:sz="4" w:space="4" w:color="auto"/>
          <w:bottom w:val="single" w:sz="4" w:space="1" w:color="auto"/>
          <w:right w:val="single" w:sz="4" w:space="4" w:color="auto"/>
        </w:pBdr>
        <w:rPr>
          <w:rFonts w:ascii="Arial" w:hAnsi="Arial" w:cs="Arial"/>
          <w:b/>
        </w:rPr>
      </w:pPr>
      <w:r w:rsidRPr="00FD719A">
        <w:rPr>
          <w:rFonts w:ascii="Arial" w:hAnsi="Arial" w:cs="Arial"/>
          <w:b/>
        </w:rPr>
        <w:t>Principles:</w:t>
      </w:r>
    </w:p>
    <w:p w14:paraId="623F90B1" w14:textId="77777777" w:rsidR="00EA387F" w:rsidRDefault="00EA387F" w:rsidP="00EA387F">
      <w:pPr>
        <w:rPr>
          <w:rFonts w:ascii="Arial" w:hAnsi="Arial" w:cs="Arial"/>
        </w:rPr>
      </w:pPr>
    </w:p>
    <w:p w14:paraId="3B9ECEDC" w14:textId="77777777" w:rsidR="00EA387F" w:rsidRPr="00FD719A" w:rsidRDefault="00EA387F" w:rsidP="00EA387F">
      <w:pPr>
        <w:rPr>
          <w:rFonts w:ascii="Arial" w:hAnsi="Arial" w:cs="Arial"/>
        </w:rPr>
      </w:pPr>
      <w:r>
        <w:rPr>
          <w:rFonts w:ascii="Arial" w:hAnsi="Arial" w:cs="Arial"/>
        </w:rPr>
        <w:t>The F</w:t>
      </w:r>
      <w:r w:rsidRPr="00FD719A">
        <w:rPr>
          <w:rFonts w:ascii="Arial" w:hAnsi="Arial" w:cs="Arial"/>
        </w:rPr>
        <w:t>ramework</w:t>
      </w:r>
      <w:r>
        <w:rPr>
          <w:rFonts w:ascii="Arial" w:hAnsi="Arial" w:cs="Arial"/>
        </w:rPr>
        <w:t xml:space="preserve"> is based on the following core principles:</w:t>
      </w:r>
    </w:p>
    <w:p w14:paraId="5672B1BA" w14:textId="030AC27E" w:rsidR="00EA387F" w:rsidRPr="00FD719A" w:rsidRDefault="00EA387F" w:rsidP="00EA387F">
      <w:pPr>
        <w:numPr>
          <w:ilvl w:val="0"/>
          <w:numId w:val="9"/>
        </w:numPr>
        <w:spacing w:line="240" w:lineRule="auto"/>
        <w:rPr>
          <w:rFonts w:ascii="Arial" w:hAnsi="Arial" w:cs="Arial"/>
        </w:rPr>
      </w:pPr>
      <w:r w:rsidRPr="00FD719A">
        <w:rPr>
          <w:rFonts w:ascii="Arial" w:hAnsi="Arial" w:cs="Arial"/>
        </w:rPr>
        <w:t>Evidenc</w:t>
      </w:r>
      <w:r>
        <w:rPr>
          <w:rFonts w:ascii="Arial" w:hAnsi="Arial" w:cs="Arial"/>
        </w:rPr>
        <w:t>e based: This F</w:t>
      </w:r>
      <w:r w:rsidRPr="00FD719A">
        <w:rPr>
          <w:rFonts w:ascii="Arial" w:hAnsi="Arial" w:cs="Arial"/>
        </w:rPr>
        <w:t xml:space="preserve">ramework has been informed by </w:t>
      </w:r>
      <w:r>
        <w:rPr>
          <w:rFonts w:ascii="Arial" w:hAnsi="Arial" w:cs="Arial"/>
        </w:rPr>
        <w:t>best practices for supervision identified through review of relevant literature</w:t>
      </w:r>
      <w:r w:rsidR="00EA6A56">
        <w:rPr>
          <w:rFonts w:ascii="Arial" w:hAnsi="Arial" w:cs="Arial"/>
        </w:rPr>
        <w:t>, an environmental scan includi</w:t>
      </w:r>
      <w:r w:rsidR="0081637C">
        <w:rPr>
          <w:rFonts w:ascii="Arial" w:hAnsi="Arial" w:cs="Arial"/>
        </w:rPr>
        <w:t xml:space="preserve">ng review of practice in other </w:t>
      </w:r>
      <w:r w:rsidR="00EA6A56">
        <w:rPr>
          <w:rFonts w:ascii="Arial" w:hAnsi="Arial" w:cs="Arial"/>
        </w:rPr>
        <w:t>professions,</w:t>
      </w:r>
      <w:r>
        <w:rPr>
          <w:rFonts w:ascii="Arial" w:hAnsi="Arial" w:cs="Arial"/>
        </w:rPr>
        <w:t xml:space="preserve"> as well as expert </w:t>
      </w:r>
      <w:r w:rsidR="00EA6A56">
        <w:rPr>
          <w:rFonts w:ascii="Arial" w:hAnsi="Arial" w:cs="Arial"/>
        </w:rPr>
        <w:t xml:space="preserve">key-informant </w:t>
      </w:r>
      <w:r>
        <w:rPr>
          <w:rFonts w:ascii="Arial" w:hAnsi="Arial" w:cs="Arial"/>
        </w:rPr>
        <w:t>opinion;</w:t>
      </w:r>
    </w:p>
    <w:p w14:paraId="09190451" w14:textId="39F4E96E" w:rsidR="00EA387F" w:rsidRPr="00FD215E" w:rsidRDefault="00EA387F" w:rsidP="00EA387F">
      <w:pPr>
        <w:numPr>
          <w:ilvl w:val="0"/>
          <w:numId w:val="9"/>
        </w:numPr>
        <w:spacing w:line="240" w:lineRule="auto"/>
        <w:rPr>
          <w:rFonts w:ascii="Arial" w:hAnsi="Arial" w:cs="Arial"/>
        </w:rPr>
      </w:pPr>
      <w:r w:rsidRPr="00FD719A">
        <w:rPr>
          <w:rFonts w:ascii="Arial" w:hAnsi="Arial" w:cs="Arial"/>
        </w:rPr>
        <w:t>Flexibility</w:t>
      </w:r>
      <w:r>
        <w:rPr>
          <w:rFonts w:ascii="Arial" w:hAnsi="Arial" w:cs="Arial"/>
        </w:rPr>
        <w:t>: The F</w:t>
      </w:r>
      <w:r w:rsidRPr="00FD719A">
        <w:rPr>
          <w:rFonts w:ascii="Arial" w:hAnsi="Arial" w:cs="Arial"/>
        </w:rPr>
        <w:t xml:space="preserve">ramework </w:t>
      </w:r>
      <w:r>
        <w:rPr>
          <w:rFonts w:ascii="Arial" w:hAnsi="Arial" w:cs="Arial"/>
        </w:rPr>
        <w:t>recognizes the need for a flexible approach</w:t>
      </w:r>
      <w:r w:rsidR="005714F4">
        <w:rPr>
          <w:rFonts w:ascii="Arial" w:hAnsi="Arial" w:cs="Arial"/>
        </w:rPr>
        <w:t xml:space="preserve"> within a “gold standard”</w:t>
      </w:r>
      <w:r>
        <w:rPr>
          <w:rFonts w:ascii="Arial" w:hAnsi="Arial" w:cs="Arial"/>
        </w:rPr>
        <w:t xml:space="preserve"> that considers</w:t>
      </w:r>
      <w:r w:rsidRPr="00FD719A">
        <w:rPr>
          <w:rFonts w:ascii="Arial" w:hAnsi="Arial" w:cs="Arial"/>
        </w:rPr>
        <w:t xml:space="preserve"> the variation</w:t>
      </w:r>
      <w:r>
        <w:rPr>
          <w:rFonts w:ascii="Arial" w:hAnsi="Arial" w:cs="Arial"/>
        </w:rPr>
        <w:t>s</w:t>
      </w:r>
      <w:r w:rsidRPr="00FD719A">
        <w:rPr>
          <w:rFonts w:ascii="Arial" w:hAnsi="Arial" w:cs="Arial"/>
        </w:rPr>
        <w:t xml:space="preserve"> in regulatory contexts across the country</w:t>
      </w:r>
      <w:r>
        <w:rPr>
          <w:rFonts w:ascii="Arial" w:hAnsi="Arial" w:cs="Arial"/>
        </w:rPr>
        <w:t>,</w:t>
      </w:r>
      <w:r w:rsidRPr="00FD719A">
        <w:rPr>
          <w:rFonts w:ascii="Arial" w:hAnsi="Arial" w:cs="Arial"/>
        </w:rPr>
        <w:t xml:space="preserve"> as well as the </w:t>
      </w:r>
      <w:r>
        <w:rPr>
          <w:rFonts w:ascii="Arial" w:hAnsi="Arial" w:cs="Arial"/>
        </w:rPr>
        <w:t xml:space="preserve">different experiences and </w:t>
      </w:r>
      <w:r w:rsidRPr="00FD719A">
        <w:rPr>
          <w:rFonts w:ascii="Arial" w:hAnsi="Arial" w:cs="Arial"/>
        </w:rPr>
        <w:t xml:space="preserve">needs of the </w:t>
      </w:r>
      <w:r>
        <w:rPr>
          <w:rFonts w:ascii="Arial" w:hAnsi="Arial" w:cs="Arial"/>
        </w:rPr>
        <w:t xml:space="preserve">individuals being supervised.  As such the guidelines outlined in this framework should be considered as recommended best </w:t>
      </w:r>
      <w:r w:rsidRPr="00FD215E">
        <w:rPr>
          <w:rFonts w:ascii="Arial" w:hAnsi="Arial" w:cs="Arial"/>
        </w:rPr>
        <w:t>practice</w:t>
      </w:r>
      <w:r w:rsidR="0081637C" w:rsidRPr="00FD215E">
        <w:rPr>
          <w:rFonts w:ascii="Arial" w:hAnsi="Arial" w:cs="Arial"/>
        </w:rPr>
        <w:t xml:space="preserve"> rather than regulatory requirements</w:t>
      </w:r>
      <w:r w:rsidRPr="00FD215E">
        <w:rPr>
          <w:rFonts w:ascii="Arial" w:hAnsi="Arial" w:cs="Arial"/>
        </w:rPr>
        <w:t>;</w:t>
      </w:r>
    </w:p>
    <w:p w14:paraId="1FC73F71" w14:textId="77777777" w:rsidR="00EA387F" w:rsidRPr="00FD719A" w:rsidRDefault="00EA387F" w:rsidP="00EA387F">
      <w:pPr>
        <w:numPr>
          <w:ilvl w:val="0"/>
          <w:numId w:val="9"/>
        </w:numPr>
        <w:spacing w:line="240" w:lineRule="auto"/>
        <w:rPr>
          <w:rFonts w:ascii="Arial" w:hAnsi="Arial" w:cs="Arial"/>
        </w:rPr>
      </w:pPr>
      <w:r w:rsidRPr="00FD215E">
        <w:rPr>
          <w:rFonts w:ascii="Arial" w:hAnsi="Arial" w:cs="Arial"/>
        </w:rPr>
        <w:t>Accountability: Both the supervisor and the supervisee</w:t>
      </w:r>
      <w:r w:rsidRPr="00FD719A">
        <w:rPr>
          <w:rFonts w:ascii="Arial" w:hAnsi="Arial" w:cs="Arial"/>
        </w:rPr>
        <w:t xml:space="preserve"> are responsible for </w:t>
      </w:r>
      <w:r>
        <w:rPr>
          <w:rFonts w:ascii="Arial" w:hAnsi="Arial" w:cs="Arial"/>
        </w:rPr>
        <w:t>safe accountable practice and public safety during the period of supervised practice;</w:t>
      </w:r>
    </w:p>
    <w:p w14:paraId="39D98561" w14:textId="77777777" w:rsidR="00EA387F" w:rsidRPr="00FD719A" w:rsidRDefault="00EA387F" w:rsidP="00EA387F">
      <w:pPr>
        <w:numPr>
          <w:ilvl w:val="0"/>
          <w:numId w:val="9"/>
        </w:numPr>
        <w:spacing w:line="240" w:lineRule="auto"/>
        <w:rPr>
          <w:rFonts w:ascii="Arial" w:hAnsi="Arial" w:cs="Arial"/>
        </w:rPr>
      </w:pPr>
      <w:r w:rsidRPr="00FD719A">
        <w:rPr>
          <w:rFonts w:ascii="Arial" w:hAnsi="Arial" w:cs="Arial"/>
        </w:rPr>
        <w:t xml:space="preserve">Equity: The expected </w:t>
      </w:r>
      <w:r>
        <w:rPr>
          <w:rFonts w:ascii="Arial" w:hAnsi="Arial" w:cs="Arial"/>
        </w:rPr>
        <w:t>level o</w:t>
      </w:r>
      <w:r w:rsidRPr="00FD719A">
        <w:rPr>
          <w:rFonts w:ascii="Arial" w:hAnsi="Arial" w:cs="Arial"/>
        </w:rPr>
        <w:t xml:space="preserve">f competency at </w:t>
      </w:r>
      <w:r>
        <w:rPr>
          <w:rFonts w:ascii="Arial" w:hAnsi="Arial" w:cs="Arial"/>
        </w:rPr>
        <w:t>the point of full registration is</w:t>
      </w:r>
      <w:r w:rsidRPr="00FD719A">
        <w:rPr>
          <w:rFonts w:ascii="Arial" w:hAnsi="Arial" w:cs="Arial"/>
        </w:rPr>
        <w:t xml:space="preserve"> the same for all applicants</w:t>
      </w:r>
      <w:r>
        <w:rPr>
          <w:rFonts w:ascii="Arial" w:hAnsi="Arial" w:cs="Arial"/>
        </w:rPr>
        <w:t>;</w:t>
      </w:r>
    </w:p>
    <w:p w14:paraId="68DE9DF9" w14:textId="77777777" w:rsidR="00EA387F" w:rsidRPr="00FD719A" w:rsidRDefault="00EA387F" w:rsidP="00EA387F">
      <w:pPr>
        <w:numPr>
          <w:ilvl w:val="0"/>
          <w:numId w:val="9"/>
        </w:numPr>
        <w:spacing w:line="240" w:lineRule="auto"/>
        <w:rPr>
          <w:rFonts w:ascii="Arial" w:hAnsi="Arial" w:cs="Arial"/>
        </w:rPr>
      </w:pPr>
      <w:r>
        <w:rPr>
          <w:rFonts w:ascii="Arial" w:hAnsi="Arial" w:cs="Arial"/>
        </w:rPr>
        <w:t>Fairness: All registrants</w:t>
      </w:r>
      <w:r w:rsidRPr="00FD719A">
        <w:rPr>
          <w:rFonts w:ascii="Arial" w:hAnsi="Arial" w:cs="Arial"/>
        </w:rPr>
        <w:t xml:space="preserve"> involved </w:t>
      </w:r>
      <w:r>
        <w:rPr>
          <w:rFonts w:ascii="Arial" w:hAnsi="Arial" w:cs="Arial"/>
        </w:rPr>
        <w:t xml:space="preserve">in entry to practice supervision situations </w:t>
      </w:r>
      <w:r w:rsidRPr="00FD719A">
        <w:rPr>
          <w:rFonts w:ascii="Arial" w:hAnsi="Arial" w:cs="Arial"/>
        </w:rPr>
        <w:t>will be treated fairly</w:t>
      </w:r>
      <w:r>
        <w:rPr>
          <w:rFonts w:ascii="Arial" w:hAnsi="Arial" w:cs="Arial"/>
        </w:rPr>
        <w:t>;</w:t>
      </w:r>
    </w:p>
    <w:p w14:paraId="3F5F3B17" w14:textId="77777777" w:rsidR="00EA387F" w:rsidRPr="00FD719A" w:rsidRDefault="00EA387F" w:rsidP="00EA387F">
      <w:pPr>
        <w:numPr>
          <w:ilvl w:val="0"/>
          <w:numId w:val="9"/>
        </w:numPr>
        <w:spacing w:line="240" w:lineRule="auto"/>
        <w:rPr>
          <w:rFonts w:ascii="Arial" w:hAnsi="Arial" w:cs="Arial"/>
        </w:rPr>
      </w:pPr>
      <w:r>
        <w:rPr>
          <w:rFonts w:ascii="Arial" w:hAnsi="Arial" w:cs="Arial"/>
        </w:rPr>
        <w:t xml:space="preserve">Public Protection: </w:t>
      </w:r>
      <w:r w:rsidRPr="00FD719A">
        <w:rPr>
          <w:rFonts w:ascii="Arial" w:hAnsi="Arial" w:cs="Arial"/>
        </w:rPr>
        <w:t>Protection of the public is paramount</w:t>
      </w:r>
      <w:r>
        <w:rPr>
          <w:rFonts w:ascii="Arial" w:hAnsi="Arial" w:cs="Arial"/>
        </w:rPr>
        <w:t xml:space="preserve"> during the period of supervised practice;</w:t>
      </w:r>
    </w:p>
    <w:p w14:paraId="436AAED5" w14:textId="77777777" w:rsidR="00EA387F" w:rsidRDefault="00EA387F" w:rsidP="00EA387F">
      <w:pPr>
        <w:numPr>
          <w:ilvl w:val="0"/>
          <w:numId w:val="9"/>
        </w:numPr>
        <w:spacing w:line="240" w:lineRule="auto"/>
        <w:rPr>
          <w:rFonts w:ascii="Arial" w:hAnsi="Arial" w:cs="Arial"/>
        </w:rPr>
      </w:pPr>
      <w:r w:rsidRPr="00FD719A">
        <w:rPr>
          <w:rFonts w:ascii="Arial" w:hAnsi="Arial" w:cs="Arial"/>
        </w:rPr>
        <w:t>Responsibili</w:t>
      </w:r>
      <w:r>
        <w:rPr>
          <w:rFonts w:ascii="Arial" w:hAnsi="Arial" w:cs="Arial"/>
        </w:rPr>
        <w:t>ty: Individual regulatory authorities</w:t>
      </w:r>
      <w:r w:rsidRPr="00FD719A">
        <w:rPr>
          <w:rFonts w:ascii="Arial" w:hAnsi="Arial" w:cs="Arial"/>
        </w:rPr>
        <w:t xml:space="preserve"> are responsible for regulating the practice of physiotherapy in their respective jurisdiction</w:t>
      </w:r>
      <w:r>
        <w:rPr>
          <w:rFonts w:ascii="Arial" w:hAnsi="Arial" w:cs="Arial"/>
        </w:rPr>
        <w:t>s.</w:t>
      </w:r>
      <w:r w:rsidRPr="00FD719A">
        <w:rPr>
          <w:rFonts w:ascii="Arial" w:hAnsi="Arial" w:cs="Arial"/>
        </w:rPr>
        <w:t xml:space="preserve"> </w:t>
      </w:r>
    </w:p>
    <w:p w14:paraId="6EC1F42C" w14:textId="77777777" w:rsidR="00EA387F" w:rsidRPr="00FD719A" w:rsidRDefault="00EA387F" w:rsidP="00EA387F">
      <w:pPr>
        <w:rPr>
          <w:rFonts w:ascii="Arial" w:hAnsi="Arial" w:cs="Arial"/>
        </w:rPr>
      </w:pPr>
    </w:p>
    <w:p w14:paraId="21C1312D" w14:textId="77777777" w:rsidR="00EA387F" w:rsidRPr="00FD719A" w:rsidRDefault="00EA387F" w:rsidP="00EA387F">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Guidelines for Supervision of entry-level physiotherapists across Canada:</w:t>
      </w:r>
    </w:p>
    <w:p w14:paraId="0B884220" w14:textId="77777777" w:rsidR="00EA387F" w:rsidRDefault="00EA387F" w:rsidP="00EA387F">
      <w:pPr>
        <w:rPr>
          <w:rFonts w:ascii="Arial" w:hAnsi="Arial" w:cs="Arial"/>
        </w:rPr>
      </w:pPr>
    </w:p>
    <w:p w14:paraId="055D70A3" w14:textId="77777777" w:rsidR="00EA387F" w:rsidRPr="00FD719A" w:rsidRDefault="00EA387F" w:rsidP="00EA387F">
      <w:pPr>
        <w:rPr>
          <w:rFonts w:ascii="Arial" w:hAnsi="Arial" w:cs="Arial"/>
          <w:b/>
          <w:i/>
        </w:rPr>
      </w:pPr>
      <w:r w:rsidRPr="00FD719A">
        <w:rPr>
          <w:rFonts w:ascii="Arial" w:hAnsi="Arial" w:cs="Arial"/>
          <w:b/>
          <w:i/>
        </w:rPr>
        <w:t xml:space="preserve">Target </w:t>
      </w:r>
      <w:r>
        <w:rPr>
          <w:rFonts w:ascii="Arial" w:hAnsi="Arial" w:cs="Arial"/>
          <w:b/>
          <w:i/>
        </w:rPr>
        <w:t>Groups</w:t>
      </w:r>
    </w:p>
    <w:p w14:paraId="6CB6DABB" w14:textId="77777777" w:rsidR="00EA387F" w:rsidRPr="00FD719A" w:rsidRDefault="00EA387F" w:rsidP="00EA387F">
      <w:pPr>
        <w:rPr>
          <w:rFonts w:ascii="Arial" w:hAnsi="Arial" w:cs="Arial"/>
        </w:rPr>
      </w:pPr>
      <w:r w:rsidRPr="00FD719A">
        <w:rPr>
          <w:rFonts w:ascii="Arial" w:hAnsi="Arial" w:cs="Arial"/>
        </w:rPr>
        <w:t>T</w:t>
      </w:r>
      <w:r>
        <w:rPr>
          <w:rFonts w:ascii="Arial" w:hAnsi="Arial" w:cs="Arial"/>
        </w:rPr>
        <w:t>he t</w:t>
      </w:r>
      <w:r w:rsidRPr="00FD719A">
        <w:rPr>
          <w:rFonts w:ascii="Arial" w:hAnsi="Arial" w:cs="Arial"/>
        </w:rPr>
        <w:t xml:space="preserve">hree target </w:t>
      </w:r>
      <w:r>
        <w:rPr>
          <w:rFonts w:ascii="Arial" w:hAnsi="Arial" w:cs="Arial"/>
        </w:rPr>
        <w:t>groups</w:t>
      </w:r>
      <w:r w:rsidRPr="00FD719A">
        <w:rPr>
          <w:rFonts w:ascii="Arial" w:hAnsi="Arial" w:cs="Arial"/>
        </w:rPr>
        <w:t xml:space="preserve"> for</w:t>
      </w:r>
      <w:r>
        <w:rPr>
          <w:rFonts w:ascii="Arial" w:hAnsi="Arial" w:cs="Arial"/>
        </w:rPr>
        <w:t xml:space="preserve"> entry to practice supervision are:</w:t>
      </w:r>
    </w:p>
    <w:p w14:paraId="3DF216A5" w14:textId="77777777" w:rsidR="00EA387F" w:rsidRPr="00FD719A" w:rsidRDefault="00EA387F" w:rsidP="00EA387F">
      <w:pPr>
        <w:rPr>
          <w:rFonts w:ascii="Arial" w:hAnsi="Arial" w:cs="Arial"/>
          <w:i/>
        </w:rPr>
      </w:pPr>
    </w:p>
    <w:p w14:paraId="0B5B8233" w14:textId="77777777" w:rsidR="00EA387F" w:rsidRDefault="00EA387F" w:rsidP="00EA387F">
      <w:pPr>
        <w:rPr>
          <w:rFonts w:ascii="Arial" w:hAnsi="Arial" w:cs="Arial"/>
        </w:rPr>
      </w:pPr>
      <w:r w:rsidRPr="00FD719A">
        <w:rPr>
          <w:rFonts w:ascii="Arial" w:hAnsi="Arial" w:cs="Arial"/>
          <w:i/>
        </w:rPr>
        <w:t>New graduates of Canadian Universities</w:t>
      </w:r>
      <w:r>
        <w:rPr>
          <w:rFonts w:ascii="Arial" w:hAnsi="Arial" w:cs="Arial"/>
        </w:rPr>
        <w:t xml:space="preserve">: Should be eligible for a </w:t>
      </w:r>
      <w:r w:rsidRPr="00FD719A">
        <w:rPr>
          <w:rFonts w:ascii="Arial" w:hAnsi="Arial" w:cs="Arial"/>
        </w:rPr>
        <w:t xml:space="preserve">period of </w:t>
      </w:r>
      <w:r>
        <w:rPr>
          <w:rFonts w:ascii="Arial" w:hAnsi="Arial" w:cs="Arial"/>
        </w:rPr>
        <w:t xml:space="preserve">entry to practice </w:t>
      </w:r>
      <w:r w:rsidRPr="00FD719A">
        <w:rPr>
          <w:rFonts w:ascii="Arial" w:hAnsi="Arial" w:cs="Arial"/>
        </w:rPr>
        <w:t>supervi</w:t>
      </w:r>
      <w:r>
        <w:rPr>
          <w:rFonts w:ascii="Arial" w:hAnsi="Arial" w:cs="Arial"/>
        </w:rPr>
        <w:t>sion</w:t>
      </w:r>
      <w:r w:rsidRPr="00FD719A">
        <w:rPr>
          <w:rFonts w:ascii="Arial" w:hAnsi="Arial" w:cs="Arial"/>
        </w:rPr>
        <w:t xml:space="preserve"> after passing the writ</w:t>
      </w:r>
      <w:r>
        <w:rPr>
          <w:rFonts w:ascii="Arial" w:hAnsi="Arial" w:cs="Arial"/>
        </w:rPr>
        <w:t>ten component of the Physiotherapy Competency Examination (PCE)</w:t>
      </w:r>
      <w:r w:rsidRPr="00FD719A">
        <w:rPr>
          <w:rFonts w:ascii="Arial" w:hAnsi="Arial" w:cs="Arial"/>
        </w:rPr>
        <w:t xml:space="preserve"> and prior to passing the clinical component. </w:t>
      </w:r>
    </w:p>
    <w:p w14:paraId="509E923A" w14:textId="77777777" w:rsidR="00EA387F" w:rsidRPr="00FD719A" w:rsidRDefault="00EA387F" w:rsidP="00EA387F">
      <w:pPr>
        <w:rPr>
          <w:rFonts w:ascii="Arial" w:hAnsi="Arial" w:cs="Arial"/>
          <w:i/>
        </w:rPr>
      </w:pPr>
    </w:p>
    <w:p w14:paraId="6E5CA1A5" w14:textId="77777777" w:rsidR="00EA387F" w:rsidRPr="00FD719A" w:rsidRDefault="00EA387F" w:rsidP="00EA387F">
      <w:pPr>
        <w:rPr>
          <w:rFonts w:ascii="Arial" w:hAnsi="Arial" w:cs="Arial"/>
        </w:rPr>
      </w:pPr>
      <w:r w:rsidRPr="00FD719A">
        <w:rPr>
          <w:rFonts w:ascii="Arial" w:hAnsi="Arial" w:cs="Arial"/>
          <w:i/>
        </w:rPr>
        <w:t xml:space="preserve">Internationally educated physiotherapists seeking licensure in </w:t>
      </w:r>
      <w:smartTag w:uri="urn:schemas-microsoft-com:office:smarttags" w:element="place">
        <w:smartTag w:uri="urn:schemas-microsoft-com:office:smarttags" w:element="country-region">
          <w:r w:rsidRPr="00FD719A">
            <w:rPr>
              <w:rFonts w:ascii="Arial" w:hAnsi="Arial" w:cs="Arial"/>
              <w:i/>
            </w:rPr>
            <w:t>Canada</w:t>
          </w:r>
        </w:smartTag>
      </w:smartTag>
      <w:r>
        <w:rPr>
          <w:rFonts w:ascii="Arial" w:hAnsi="Arial" w:cs="Arial"/>
        </w:rPr>
        <w:t xml:space="preserve">: Should be eligible for a </w:t>
      </w:r>
      <w:r w:rsidRPr="00FD719A">
        <w:rPr>
          <w:rFonts w:ascii="Arial" w:hAnsi="Arial" w:cs="Arial"/>
        </w:rPr>
        <w:t>period</w:t>
      </w:r>
      <w:r>
        <w:rPr>
          <w:rFonts w:ascii="Arial" w:hAnsi="Arial" w:cs="Arial"/>
        </w:rPr>
        <w:t xml:space="preserve"> of supervised practice</w:t>
      </w:r>
      <w:r w:rsidRPr="00FD719A">
        <w:rPr>
          <w:rFonts w:ascii="Arial" w:hAnsi="Arial" w:cs="Arial"/>
        </w:rPr>
        <w:t xml:space="preserve"> after passing the writ</w:t>
      </w:r>
      <w:r>
        <w:rPr>
          <w:rFonts w:ascii="Arial" w:hAnsi="Arial" w:cs="Arial"/>
        </w:rPr>
        <w:t>ten component of the PCE</w:t>
      </w:r>
      <w:r w:rsidRPr="00FD719A">
        <w:rPr>
          <w:rFonts w:ascii="Arial" w:hAnsi="Arial" w:cs="Arial"/>
        </w:rPr>
        <w:t xml:space="preserve"> and prior to passing the clinical component.</w:t>
      </w:r>
    </w:p>
    <w:p w14:paraId="72B22A54" w14:textId="77777777" w:rsidR="00EA387F" w:rsidRDefault="00EA387F" w:rsidP="00EA387F">
      <w:pPr>
        <w:rPr>
          <w:rFonts w:ascii="Arial" w:hAnsi="Arial" w:cs="Arial"/>
          <w:i/>
        </w:rPr>
      </w:pPr>
    </w:p>
    <w:p w14:paraId="380ECE3B" w14:textId="0A596F6A" w:rsidR="00EA387F" w:rsidRPr="00FD719A" w:rsidRDefault="00EA387F" w:rsidP="00EA387F">
      <w:pPr>
        <w:rPr>
          <w:rFonts w:ascii="Arial" w:hAnsi="Arial" w:cs="Arial"/>
        </w:rPr>
      </w:pPr>
      <w:r w:rsidRPr="00FD719A">
        <w:rPr>
          <w:rFonts w:ascii="Arial" w:hAnsi="Arial" w:cs="Arial"/>
          <w:i/>
        </w:rPr>
        <w:t>Re-entry candidates</w:t>
      </w:r>
      <w:r>
        <w:rPr>
          <w:rFonts w:ascii="Arial" w:hAnsi="Arial" w:cs="Arial"/>
        </w:rPr>
        <w:t>: S</w:t>
      </w:r>
      <w:r w:rsidRPr="00FD719A">
        <w:rPr>
          <w:rFonts w:ascii="Arial" w:hAnsi="Arial" w:cs="Arial"/>
        </w:rPr>
        <w:t xml:space="preserve">hould be evaluated on a case-by-case basis and the requirements </w:t>
      </w:r>
      <w:r>
        <w:rPr>
          <w:rFonts w:ascii="Arial" w:hAnsi="Arial" w:cs="Arial"/>
        </w:rPr>
        <w:t xml:space="preserve">for re-entry should be </w:t>
      </w:r>
      <w:r w:rsidRPr="00FD719A">
        <w:rPr>
          <w:rFonts w:ascii="Arial" w:hAnsi="Arial" w:cs="Arial"/>
        </w:rPr>
        <w:t xml:space="preserve">identified based on the individual’s experience and needs. Requirements may involve </w:t>
      </w:r>
      <w:r>
        <w:rPr>
          <w:rFonts w:ascii="Arial" w:hAnsi="Arial" w:cs="Arial"/>
        </w:rPr>
        <w:t>a period of supervised practice, completion of the PCE,</w:t>
      </w:r>
      <w:r w:rsidRPr="00FD719A">
        <w:rPr>
          <w:rFonts w:ascii="Arial" w:hAnsi="Arial" w:cs="Arial"/>
        </w:rPr>
        <w:t xml:space="preserve"> individual</w:t>
      </w:r>
      <w:r>
        <w:rPr>
          <w:rFonts w:ascii="Arial" w:hAnsi="Arial" w:cs="Arial"/>
        </w:rPr>
        <w:t xml:space="preserve"> (self-directed)</w:t>
      </w:r>
      <w:r w:rsidRPr="00FD719A">
        <w:rPr>
          <w:rFonts w:ascii="Arial" w:hAnsi="Arial" w:cs="Arial"/>
        </w:rPr>
        <w:t xml:space="preserve"> study</w:t>
      </w:r>
      <w:r>
        <w:rPr>
          <w:rFonts w:ascii="Arial" w:hAnsi="Arial" w:cs="Arial"/>
        </w:rPr>
        <w:t>,</w:t>
      </w:r>
      <w:r w:rsidRPr="00FD719A">
        <w:rPr>
          <w:rFonts w:ascii="Arial" w:hAnsi="Arial" w:cs="Arial"/>
        </w:rPr>
        <w:t xml:space="preserve"> and coursework.</w:t>
      </w:r>
      <w:r>
        <w:rPr>
          <w:rFonts w:ascii="Arial" w:hAnsi="Arial" w:cs="Arial"/>
        </w:rPr>
        <w:t xml:space="preserve">  </w:t>
      </w:r>
    </w:p>
    <w:p w14:paraId="2B0A6EB3" w14:textId="7485D2BF" w:rsidR="00EA387F" w:rsidRPr="00FD719A" w:rsidRDefault="00EA387F" w:rsidP="00EA387F">
      <w:pPr>
        <w:ind w:left="420"/>
        <w:rPr>
          <w:rFonts w:ascii="Arial" w:hAnsi="Arial" w:cs="Arial"/>
        </w:rPr>
      </w:pPr>
    </w:p>
    <w:p w14:paraId="4A458485" w14:textId="1A1C9447" w:rsidR="00EA387F" w:rsidRPr="00FD719A" w:rsidRDefault="00EA387F" w:rsidP="00EA387F">
      <w:pPr>
        <w:rPr>
          <w:rFonts w:ascii="Arial" w:hAnsi="Arial" w:cs="Arial"/>
        </w:rPr>
      </w:pPr>
      <w:r w:rsidRPr="00FD719A">
        <w:rPr>
          <w:rFonts w:ascii="Arial" w:hAnsi="Arial" w:cs="Arial"/>
          <w:b/>
          <w:i/>
        </w:rPr>
        <w:t>Parameters</w:t>
      </w:r>
      <w:r w:rsidRPr="00FD719A">
        <w:rPr>
          <w:rFonts w:ascii="Arial" w:hAnsi="Arial" w:cs="Arial"/>
        </w:rPr>
        <w:t xml:space="preserve"> </w:t>
      </w:r>
    </w:p>
    <w:p w14:paraId="67F9C4B2" w14:textId="7FA98B90" w:rsidR="00EA387F" w:rsidRDefault="00EA387F" w:rsidP="00EA387F">
      <w:pPr>
        <w:rPr>
          <w:rFonts w:ascii="Arial" w:hAnsi="Arial" w:cs="Arial"/>
        </w:rPr>
      </w:pPr>
      <w:r>
        <w:rPr>
          <w:rFonts w:ascii="Arial" w:hAnsi="Arial" w:cs="Arial"/>
        </w:rPr>
        <w:t>Acknowledging that the</w:t>
      </w:r>
      <w:r w:rsidRPr="00FD719A">
        <w:rPr>
          <w:rFonts w:ascii="Arial" w:hAnsi="Arial" w:cs="Arial"/>
        </w:rPr>
        <w:t xml:space="preserve"> </w:t>
      </w:r>
      <w:r>
        <w:rPr>
          <w:rFonts w:ascii="Arial" w:hAnsi="Arial" w:cs="Arial"/>
        </w:rPr>
        <w:t xml:space="preserve">designation of the </w:t>
      </w:r>
      <w:r w:rsidRPr="00FD719A">
        <w:rPr>
          <w:rFonts w:ascii="Arial" w:hAnsi="Arial" w:cs="Arial"/>
        </w:rPr>
        <w:t xml:space="preserve">registration </w:t>
      </w:r>
      <w:r>
        <w:rPr>
          <w:rFonts w:ascii="Arial" w:hAnsi="Arial" w:cs="Arial"/>
        </w:rPr>
        <w:t>category for entry to practice</w:t>
      </w:r>
      <w:r w:rsidRPr="00FD719A">
        <w:rPr>
          <w:rFonts w:ascii="Arial" w:hAnsi="Arial" w:cs="Arial"/>
        </w:rPr>
        <w:t xml:space="preserve"> supervision </w:t>
      </w:r>
      <w:r>
        <w:rPr>
          <w:rFonts w:ascii="Arial" w:hAnsi="Arial" w:cs="Arial"/>
        </w:rPr>
        <w:t xml:space="preserve">situations currently vary across Canadian jurisdictions, the Regulators support the approach of a </w:t>
      </w:r>
      <w:r w:rsidRPr="00FD719A">
        <w:rPr>
          <w:rFonts w:ascii="Arial" w:hAnsi="Arial" w:cs="Arial"/>
        </w:rPr>
        <w:t>“Continuum of Supervision Approaches Used across the Lifecycle of a Physiotherapi</w:t>
      </w:r>
      <w:r>
        <w:rPr>
          <w:rFonts w:ascii="Arial" w:hAnsi="Arial" w:cs="Arial"/>
        </w:rPr>
        <w:t>st” outlined in Figure</w:t>
      </w:r>
      <w:r w:rsidRPr="00FD719A">
        <w:rPr>
          <w:rFonts w:ascii="Arial" w:hAnsi="Arial" w:cs="Arial"/>
        </w:rPr>
        <w:t xml:space="preserve"> 1</w:t>
      </w:r>
      <w:r>
        <w:rPr>
          <w:rFonts w:ascii="Arial" w:hAnsi="Arial" w:cs="Arial"/>
        </w:rPr>
        <w:t xml:space="preserve"> to ensure consistency across the country and </w:t>
      </w:r>
      <w:r w:rsidRPr="00FD719A">
        <w:rPr>
          <w:rFonts w:ascii="Arial" w:hAnsi="Arial" w:cs="Arial"/>
        </w:rPr>
        <w:t>promote a commo</w:t>
      </w:r>
      <w:r>
        <w:rPr>
          <w:rFonts w:ascii="Arial" w:hAnsi="Arial" w:cs="Arial"/>
        </w:rPr>
        <w:t>n understanding and use of designation</w:t>
      </w:r>
      <w:r w:rsidRPr="00FD719A">
        <w:rPr>
          <w:rFonts w:ascii="Arial" w:hAnsi="Arial" w:cs="Arial"/>
        </w:rPr>
        <w:t>s for the individuals involved</w:t>
      </w:r>
      <w:r>
        <w:rPr>
          <w:rFonts w:ascii="Arial" w:hAnsi="Arial" w:cs="Arial"/>
        </w:rPr>
        <w:t xml:space="preserve"> in entry to practice supervision</w:t>
      </w:r>
      <w:r w:rsidRPr="00FD719A">
        <w:rPr>
          <w:rFonts w:ascii="Arial" w:hAnsi="Arial" w:cs="Arial"/>
        </w:rPr>
        <w:t>.</w:t>
      </w:r>
      <w:r>
        <w:rPr>
          <w:rFonts w:ascii="Arial" w:hAnsi="Arial" w:cs="Arial"/>
        </w:rPr>
        <w:t xml:space="preserve">  Final decisions about supervisory arrangements will remain at the discretion of each regulatory </w:t>
      </w:r>
      <w:r w:rsidR="006C799B">
        <w:rPr>
          <w:rFonts w:ascii="Arial" w:hAnsi="Arial" w:cs="Arial"/>
        </w:rPr>
        <w:t>jurisdiction.</w:t>
      </w:r>
    </w:p>
    <w:p w14:paraId="23871BDC" w14:textId="27860402" w:rsidR="00C74315" w:rsidRDefault="00C74315" w:rsidP="00EA387F">
      <w:pPr>
        <w:rPr>
          <w:rFonts w:ascii="Arial" w:hAnsi="Arial" w:cs="Arial"/>
        </w:rPr>
      </w:pPr>
    </w:p>
    <w:p w14:paraId="1144862B" w14:textId="36AECF72" w:rsidR="00C74315" w:rsidRDefault="00C74315" w:rsidP="00EA387F">
      <w:pPr>
        <w:rPr>
          <w:rFonts w:ascii="Arial" w:hAnsi="Arial" w:cs="Arial"/>
        </w:rPr>
      </w:pPr>
      <w:r>
        <w:rPr>
          <w:rFonts w:ascii="Arial" w:eastAsia="Arial" w:hAnsi="Arial" w:cs="Arial"/>
          <w:noProof/>
          <w:sz w:val="20"/>
          <w:szCs w:val="20"/>
        </w:rPr>
        <w:drawing>
          <wp:anchor distT="0" distB="0" distL="114300" distR="114300" simplePos="0" relativeHeight="251660288" behindDoc="0" locked="0" layoutInCell="1" allowOverlap="1" wp14:anchorId="14917C08" wp14:editId="69C83D9F">
            <wp:simplePos x="0" y="0"/>
            <wp:positionH relativeFrom="column">
              <wp:posOffset>-101600</wp:posOffset>
            </wp:positionH>
            <wp:positionV relativeFrom="paragraph">
              <wp:posOffset>102870</wp:posOffset>
            </wp:positionV>
            <wp:extent cx="5908791" cy="3402329"/>
            <wp:effectExtent l="0" t="0" r="0" b="825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8791" cy="3402329"/>
                    </a:xfrm>
                    <a:prstGeom prst="rect">
                      <a:avLst/>
                    </a:prstGeom>
                  </pic:spPr>
                </pic:pic>
              </a:graphicData>
            </a:graphic>
          </wp:anchor>
        </w:drawing>
      </w:r>
    </w:p>
    <w:p w14:paraId="0CDBCF6E" w14:textId="3CEBA1E6" w:rsidR="00C74315" w:rsidRPr="00FD719A" w:rsidRDefault="00C74315" w:rsidP="00EA387F">
      <w:pPr>
        <w:rPr>
          <w:rFonts w:ascii="Arial" w:hAnsi="Arial" w:cs="Arial"/>
        </w:rPr>
      </w:pPr>
    </w:p>
    <w:p w14:paraId="73FBCD75" w14:textId="13DB4798" w:rsidR="00EA387F" w:rsidRDefault="00EA387F" w:rsidP="00EA387F">
      <w:pPr>
        <w:tabs>
          <w:tab w:val="left" w:pos="720"/>
          <w:tab w:val="left" w:pos="1440"/>
          <w:tab w:val="right" w:leader="dot" w:pos="8640"/>
        </w:tabs>
        <w:rPr>
          <w:rFonts w:ascii="Arial" w:hAnsi="Arial" w:cs="Arial"/>
          <w:i/>
        </w:rPr>
      </w:pPr>
      <w:r w:rsidRPr="00E37F6B">
        <w:rPr>
          <w:rFonts w:ascii="Arial" w:hAnsi="Arial" w:cs="Arial"/>
          <w:noProof/>
        </w:rPr>
        <w:drawing>
          <wp:inline distT="0" distB="0" distL="0" distR="0" wp14:anchorId="1AFB9F73" wp14:editId="29A22FDC">
            <wp:extent cx="5943600" cy="3421380"/>
            <wp:effectExtent l="0" t="0" r="0" b="7620"/>
            <wp:docPr id="1" name="Picture 1" descr="Diagram mo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mo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21380"/>
                    </a:xfrm>
                    <a:prstGeom prst="rect">
                      <a:avLst/>
                    </a:prstGeom>
                    <a:noFill/>
                    <a:ln>
                      <a:noFill/>
                    </a:ln>
                  </pic:spPr>
                </pic:pic>
              </a:graphicData>
            </a:graphic>
          </wp:inline>
        </w:drawing>
      </w:r>
    </w:p>
    <w:p w14:paraId="01375189" w14:textId="631CA1DD" w:rsidR="00C74315" w:rsidRDefault="00C74315" w:rsidP="00EA387F">
      <w:pPr>
        <w:tabs>
          <w:tab w:val="left" w:pos="720"/>
          <w:tab w:val="left" w:pos="1440"/>
          <w:tab w:val="right" w:leader="dot" w:pos="8640"/>
        </w:tabs>
        <w:rPr>
          <w:rFonts w:ascii="Arial" w:hAnsi="Arial" w:cs="Arial"/>
          <w:i/>
        </w:rPr>
      </w:pPr>
    </w:p>
    <w:p w14:paraId="423FA433" w14:textId="2ACD5C5B" w:rsidR="00C74315" w:rsidRDefault="00C74315" w:rsidP="00EA387F">
      <w:pPr>
        <w:tabs>
          <w:tab w:val="left" w:pos="720"/>
          <w:tab w:val="left" w:pos="1440"/>
          <w:tab w:val="right" w:leader="dot" w:pos="8640"/>
        </w:tabs>
        <w:rPr>
          <w:rFonts w:ascii="Arial" w:hAnsi="Arial" w:cs="Arial"/>
          <w:i/>
        </w:rPr>
      </w:pPr>
    </w:p>
    <w:p w14:paraId="1E8B118C" w14:textId="21C653ED" w:rsidR="00C74315" w:rsidRDefault="00C74315" w:rsidP="00EA387F">
      <w:pPr>
        <w:tabs>
          <w:tab w:val="left" w:pos="720"/>
          <w:tab w:val="left" w:pos="1440"/>
          <w:tab w:val="right" w:leader="dot" w:pos="8640"/>
        </w:tabs>
        <w:rPr>
          <w:rFonts w:ascii="Arial" w:hAnsi="Arial" w:cs="Arial"/>
          <w:i/>
        </w:rPr>
      </w:pPr>
    </w:p>
    <w:p w14:paraId="582CDEB5" w14:textId="16C668BD" w:rsidR="00C74315" w:rsidRDefault="00C74315" w:rsidP="00EA387F">
      <w:pPr>
        <w:tabs>
          <w:tab w:val="left" w:pos="720"/>
          <w:tab w:val="left" w:pos="1440"/>
          <w:tab w:val="right" w:leader="dot" w:pos="8640"/>
        </w:tabs>
        <w:rPr>
          <w:rFonts w:ascii="Arial" w:hAnsi="Arial" w:cs="Arial"/>
          <w:i/>
        </w:rPr>
      </w:pPr>
    </w:p>
    <w:p w14:paraId="4C689E18" w14:textId="0F7307FB" w:rsidR="00C74315" w:rsidRDefault="00C74315" w:rsidP="00EA387F">
      <w:pPr>
        <w:tabs>
          <w:tab w:val="left" w:pos="720"/>
          <w:tab w:val="left" w:pos="1440"/>
          <w:tab w:val="right" w:leader="dot" w:pos="8640"/>
        </w:tabs>
        <w:rPr>
          <w:rFonts w:ascii="Arial" w:hAnsi="Arial" w:cs="Arial"/>
          <w:i/>
        </w:rPr>
      </w:pPr>
    </w:p>
    <w:p w14:paraId="6485DE7A" w14:textId="4B201105" w:rsidR="00C74315" w:rsidRDefault="00C74315" w:rsidP="00EA387F">
      <w:pPr>
        <w:tabs>
          <w:tab w:val="left" w:pos="720"/>
          <w:tab w:val="left" w:pos="1440"/>
          <w:tab w:val="right" w:leader="dot" w:pos="8640"/>
        </w:tabs>
        <w:rPr>
          <w:rFonts w:ascii="Arial" w:hAnsi="Arial" w:cs="Arial"/>
          <w:i/>
        </w:rPr>
      </w:pPr>
    </w:p>
    <w:p w14:paraId="7EB4CD67" w14:textId="230E4B0C" w:rsidR="00C74315" w:rsidRDefault="00C74315" w:rsidP="00EA387F">
      <w:pPr>
        <w:tabs>
          <w:tab w:val="left" w:pos="720"/>
          <w:tab w:val="left" w:pos="1440"/>
          <w:tab w:val="right" w:leader="dot" w:pos="8640"/>
        </w:tabs>
        <w:rPr>
          <w:rFonts w:ascii="Arial" w:hAnsi="Arial" w:cs="Arial"/>
          <w:i/>
        </w:rPr>
      </w:pPr>
    </w:p>
    <w:p w14:paraId="7938D583" w14:textId="16F468CF" w:rsidR="00C74315" w:rsidRDefault="00C74315" w:rsidP="00EA387F">
      <w:pPr>
        <w:tabs>
          <w:tab w:val="left" w:pos="720"/>
          <w:tab w:val="left" w:pos="1440"/>
          <w:tab w:val="right" w:leader="dot" w:pos="8640"/>
        </w:tabs>
        <w:rPr>
          <w:rFonts w:ascii="Arial" w:hAnsi="Arial" w:cs="Arial"/>
          <w:i/>
        </w:rPr>
      </w:pPr>
    </w:p>
    <w:p w14:paraId="1463EE6A" w14:textId="0BCD9D5C" w:rsidR="00C74315" w:rsidRDefault="00C74315" w:rsidP="00EA387F">
      <w:pPr>
        <w:tabs>
          <w:tab w:val="left" w:pos="720"/>
          <w:tab w:val="left" w:pos="1440"/>
          <w:tab w:val="right" w:leader="dot" w:pos="8640"/>
        </w:tabs>
        <w:rPr>
          <w:rFonts w:ascii="Arial" w:hAnsi="Arial" w:cs="Arial"/>
          <w:i/>
        </w:rPr>
      </w:pPr>
    </w:p>
    <w:p w14:paraId="58BE1AAB" w14:textId="77777777" w:rsidR="00C74315" w:rsidRDefault="00C74315" w:rsidP="00EA387F">
      <w:pPr>
        <w:tabs>
          <w:tab w:val="left" w:pos="720"/>
          <w:tab w:val="left" w:pos="1440"/>
          <w:tab w:val="right" w:leader="dot" w:pos="8640"/>
        </w:tabs>
        <w:rPr>
          <w:rFonts w:ascii="Arial" w:hAnsi="Arial" w:cs="Arial"/>
          <w:i/>
        </w:rPr>
      </w:pPr>
    </w:p>
    <w:p w14:paraId="1011FAE0" w14:textId="77777777" w:rsidR="00C74315" w:rsidRDefault="00C74315" w:rsidP="00EA387F">
      <w:pPr>
        <w:tabs>
          <w:tab w:val="left" w:pos="720"/>
          <w:tab w:val="left" w:pos="1440"/>
          <w:tab w:val="right" w:leader="dot" w:pos="8640"/>
        </w:tabs>
        <w:rPr>
          <w:rFonts w:ascii="Arial" w:hAnsi="Arial" w:cs="Arial"/>
          <w:i/>
        </w:rPr>
      </w:pPr>
    </w:p>
    <w:p w14:paraId="1CD2144E" w14:textId="77777777" w:rsidR="00C74315" w:rsidRDefault="00C74315" w:rsidP="00EA387F">
      <w:pPr>
        <w:tabs>
          <w:tab w:val="left" w:pos="720"/>
          <w:tab w:val="left" w:pos="1440"/>
          <w:tab w:val="right" w:leader="dot" w:pos="8640"/>
        </w:tabs>
        <w:rPr>
          <w:rFonts w:ascii="Arial" w:hAnsi="Arial" w:cs="Arial"/>
          <w:i/>
        </w:rPr>
      </w:pPr>
    </w:p>
    <w:p w14:paraId="4261BF44" w14:textId="77777777" w:rsidR="00C74315" w:rsidRDefault="00C74315" w:rsidP="00EA387F">
      <w:pPr>
        <w:tabs>
          <w:tab w:val="left" w:pos="720"/>
          <w:tab w:val="left" w:pos="1440"/>
          <w:tab w:val="right" w:leader="dot" w:pos="8640"/>
        </w:tabs>
        <w:rPr>
          <w:rFonts w:ascii="Arial" w:hAnsi="Arial" w:cs="Arial"/>
          <w:i/>
        </w:rPr>
      </w:pPr>
    </w:p>
    <w:p w14:paraId="3AF35FC2" w14:textId="77777777" w:rsidR="00C74315" w:rsidRDefault="00C74315" w:rsidP="00EA387F">
      <w:pPr>
        <w:tabs>
          <w:tab w:val="left" w:pos="720"/>
          <w:tab w:val="left" w:pos="1440"/>
          <w:tab w:val="right" w:leader="dot" w:pos="8640"/>
        </w:tabs>
        <w:rPr>
          <w:rFonts w:ascii="Arial" w:hAnsi="Arial" w:cs="Arial"/>
          <w:i/>
        </w:rPr>
      </w:pPr>
    </w:p>
    <w:p w14:paraId="25AD56F7" w14:textId="77777777" w:rsidR="00C74315" w:rsidRDefault="00C74315" w:rsidP="00EA387F">
      <w:pPr>
        <w:tabs>
          <w:tab w:val="left" w:pos="720"/>
          <w:tab w:val="left" w:pos="1440"/>
          <w:tab w:val="right" w:leader="dot" w:pos="8640"/>
        </w:tabs>
        <w:rPr>
          <w:rFonts w:ascii="Arial" w:hAnsi="Arial" w:cs="Arial"/>
          <w:i/>
        </w:rPr>
      </w:pPr>
    </w:p>
    <w:p w14:paraId="05EE1222" w14:textId="77777777" w:rsidR="00C74315" w:rsidRDefault="00C74315" w:rsidP="00EA387F">
      <w:pPr>
        <w:tabs>
          <w:tab w:val="left" w:pos="720"/>
          <w:tab w:val="left" w:pos="1440"/>
          <w:tab w:val="right" w:leader="dot" w:pos="8640"/>
        </w:tabs>
        <w:rPr>
          <w:rFonts w:ascii="Arial" w:hAnsi="Arial" w:cs="Arial"/>
          <w:i/>
        </w:rPr>
      </w:pPr>
    </w:p>
    <w:p w14:paraId="193A5202" w14:textId="77777777" w:rsidR="00C74315" w:rsidRDefault="00C74315" w:rsidP="00EA387F">
      <w:pPr>
        <w:tabs>
          <w:tab w:val="left" w:pos="720"/>
          <w:tab w:val="left" w:pos="1440"/>
          <w:tab w:val="right" w:leader="dot" w:pos="8640"/>
        </w:tabs>
        <w:rPr>
          <w:rFonts w:ascii="Arial" w:hAnsi="Arial" w:cs="Arial"/>
          <w:i/>
        </w:rPr>
      </w:pPr>
    </w:p>
    <w:p w14:paraId="6D68DE48" w14:textId="77777777" w:rsidR="00C74315" w:rsidRDefault="00C74315" w:rsidP="00EA387F">
      <w:pPr>
        <w:tabs>
          <w:tab w:val="left" w:pos="720"/>
          <w:tab w:val="left" w:pos="1440"/>
          <w:tab w:val="right" w:leader="dot" w:pos="8640"/>
        </w:tabs>
        <w:rPr>
          <w:rFonts w:ascii="Arial" w:hAnsi="Arial" w:cs="Arial"/>
          <w:i/>
        </w:rPr>
      </w:pPr>
    </w:p>
    <w:p w14:paraId="6B245BE7" w14:textId="77777777" w:rsidR="00C74315" w:rsidRDefault="00C74315" w:rsidP="00EA387F">
      <w:pPr>
        <w:tabs>
          <w:tab w:val="left" w:pos="720"/>
          <w:tab w:val="left" w:pos="1440"/>
          <w:tab w:val="right" w:leader="dot" w:pos="8640"/>
        </w:tabs>
        <w:rPr>
          <w:rFonts w:ascii="Arial" w:hAnsi="Arial" w:cs="Arial"/>
          <w:i/>
        </w:rPr>
      </w:pPr>
    </w:p>
    <w:p w14:paraId="1E05F7D1" w14:textId="3F8A96E4" w:rsidR="00EA387F" w:rsidRPr="00E1171B" w:rsidRDefault="00EA387F" w:rsidP="00EA387F">
      <w:pPr>
        <w:tabs>
          <w:tab w:val="left" w:pos="720"/>
          <w:tab w:val="left" w:pos="1440"/>
          <w:tab w:val="right" w:leader="dot" w:pos="8640"/>
        </w:tabs>
        <w:rPr>
          <w:rFonts w:ascii="Arial" w:hAnsi="Arial" w:cs="Arial"/>
          <w:b/>
        </w:rPr>
      </w:pPr>
      <w:r w:rsidRPr="00FD719A">
        <w:rPr>
          <w:rFonts w:ascii="Arial" w:hAnsi="Arial" w:cs="Arial"/>
          <w:i/>
        </w:rPr>
        <w:lastRenderedPageBreak/>
        <w:t>Duration of Supervision</w:t>
      </w:r>
      <w:r w:rsidRPr="00FD719A">
        <w:rPr>
          <w:rFonts w:ascii="Arial" w:hAnsi="Arial" w:cs="Arial"/>
        </w:rPr>
        <w:t xml:space="preserve">: </w:t>
      </w:r>
      <w:r>
        <w:rPr>
          <w:rFonts w:ascii="Arial" w:hAnsi="Arial" w:cs="Arial"/>
        </w:rPr>
        <w:t>The minimum and maximum requirements for supervision</w:t>
      </w:r>
      <w:r w:rsidR="006C799B">
        <w:rPr>
          <w:rFonts w:ascii="Arial" w:hAnsi="Arial" w:cs="Arial"/>
        </w:rPr>
        <w:t xml:space="preserve"> vary</w:t>
      </w:r>
      <w:r>
        <w:rPr>
          <w:rFonts w:ascii="Arial" w:hAnsi="Arial" w:cs="Arial"/>
        </w:rPr>
        <w:t xml:space="preserve"> with the needs of the supervisee involved.  At a minimum, the </w:t>
      </w:r>
      <w:r w:rsidRPr="00FD719A">
        <w:rPr>
          <w:rFonts w:ascii="Arial" w:hAnsi="Arial" w:cs="Arial"/>
        </w:rPr>
        <w:t>period of supervision</w:t>
      </w:r>
      <w:r>
        <w:rPr>
          <w:rFonts w:ascii="Arial" w:hAnsi="Arial" w:cs="Arial"/>
        </w:rPr>
        <w:t xml:space="preserve"> should be set for as much time as is needed for the applicant to successfully complete the clinical component of the </w:t>
      </w:r>
      <w:r w:rsidR="006C799B">
        <w:rPr>
          <w:rFonts w:ascii="Arial" w:hAnsi="Arial" w:cs="Arial"/>
        </w:rPr>
        <w:t>PCE</w:t>
      </w:r>
      <w:r>
        <w:rPr>
          <w:rFonts w:ascii="Arial" w:hAnsi="Arial" w:cs="Arial"/>
        </w:rPr>
        <w:t>.  Applicants are</w:t>
      </w:r>
      <w:r w:rsidRPr="00FD719A">
        <w:rPr>
          <w:rFonts w:ascii="Arial" w:hAnsi="Arial" w:cs="Arial"/>
        </w:rPr>
        <w:t xml:space="preserve"> encouraged </w:t>
      </w:r>
      <w:r>
        <w:rPr>
          <w:rFonts w:ascii="Arial" w:hAnsi="Arial" w:cs="Arial"/>
        </w:rPr>
        <w:t xml:space="preserve">whenever possible </w:t>
      </w:r>
      <w:r w:rsidRPr="00FD719A">
        <w:rPr>
          <w:rFonts w:ascii="Arial" w:hAnsi="Arial" w:cs="Arial"/>
        </w:rPr>
        <w:t xml:space="preserve">to take advantage of the </w:t>
      </w:r>
      <w:r>
        <w:rPr>
          <w:rFonts w:ascii="Arial" w:hAnsi="Arial" w:cs="Arial"/>
        </w:rPr>
        <w:t>entry to practice</w:t>
      </w:r>
      <w:r w:rsidRPr="00FD719A">
        <w:rPr>
          <w:rFonts w:ascii="Arial" w:hAnsi="Arial" w:cs="Arial"/>
        </w:rPr>
        <w:t xml:space="preserve"> supervision </w:t>
      </w:r>
      <w:r>
        <w:rPr>
          <w:rFonts w:ascii="Arial" w:hAnsi="Arial" w:cs="Arial"/>
        </w:rPr>
        <w:t>opportunity while preparing for the clinical examination</w:t>
      </w:r>
      <w:r w:rsidRPr="00FD719A">
        <w:rPr>
          <w:rFonts w:ascii="Arial" w:hAnsi="Arial" w:cs="Arial"/>
        </w:rPr>
        <w:t>.</w:t>
      </w:r>
    </w:p>
    <w:p w14:paraId="6600DF92" w14:textId="77777777" w:rsidR="00EA387F" w:rsidRDefault="00EA387F" w:rsidP="00EA387F">
      <w:pPr>
        <w:rPr>
          <w:rFonts w:ascii="Arial" w:hAnsi="Arial" w:cs="Arial"/>
        </w:rPr>
      </w:pPr>
    </w:p>
    <w:p w14:paraId="4A8DCB4A" w14:textId="77777777" w:rsidR="00EA387F" w:rsidRPr="00A90698" w:rsidRDefault="00EA387F" w:rsidP="00EA387F">
      <w:pPr>
        <w:rPr>
          <w:rFonts w:ascii="Arial" w:hAnsi="Arial" w:cs="Arial"/>
          <w:b/>
          <w:i/>
        </w:rPr>
      </w:pPr>
      <w:r w:rsidRPr="00FD719A">
        <w:rPr>
          <w:rFonts w:ascii="Arial" w:hAnsi="Arial" w:cs="Arial"/>
          <w:b/>
          <w:i/>
        </w:rPr>
        <w:t>Selection/Training of Supervisors</w:t>
      </w:r>
    </w:p>
    <w:p w14:paraId="3CBCBB43" w14:textId="222A8421" w:rsidR="00EA387F" w:rsidRPr="00FD719A" w:rsidRDefault="00EA387F" w:rsidP="00EA387F">
      <w:pPr>
        <w:rPr>
          <w:rFonts w:ascii="Arial" w:hAnsi="Arial" w:cs="Arial"/>
        </w:rPr>
      </w:pPr>
      <w:r w:rsidRPr="00FD719A">
        <w:rPr>
          <w:rFonts w:ascii="Arial" w:hAnsi="Arial" w:cs="Arial"/>
          <w:i/>
        </w:rPr>
        <w:t>Selection of Supervisors</w:t>
      </w:r>
      <w:r w:rsidRPr="00FD719A">
        <w:rPr>
          <w:rFonts w:ascii="Arial" w:hAnsi="Arial" w:cs="Arial"/>
        </w:rPr>
        <w:t xml:space="preserve">: </w:t>
      </w:r>
      <w:r>
        <w:rPr>
          <w:rFonts w:ascii="Arial" w:hAnsi="Arial" w:cs="Arial"/>
        </w:rPr>
        <w:t>The supervisee</w:t>
      </w:r>
      <w:r w:rsidRPr="00FD719A">
        <w:rPr>
          <w:rFonts w:ascii="Arial" w:hAnsi="Arial" w:cs="Arial"/>
        </w:rPr>
        <w:t xml:space="preserve"> </w:t>
      </w:r>
      <w:r w:rsidR="00DA1A77">
        <w:rPr>
          <w:rFonts w:ascii="Arial" w:hAnsi="Arial" w:cs="Arial"/>
        </w:rPr>
        <w:t>is</w:t>
      </w:r>
      <w:r>
        <w:rPr>
          <w:rFonts w:ascii="Arial" w:hAnsi="Arial" w:cs="Arial"/>
        </w:rPr>
        <w:t xml:space="preserve"> responsible</w:t>
      </w:r>
      <w:r w:rsidRPr="00FD719A">
        <w:rPr>
          <w:rFonts w:ascii="Arial" w:hAnsi="Arial" w:cs="Arial"/>
        </w:rPr>
        <w:t xml:space="preserve"> for identifying the supervisor or employer and securing agreemen</w:t>
      </w:r>
      <w:r>
        <w:rPr>
          <w:rFonts w:ascii="Arial" w:hAnsi="Arial" w:cs="Arial"/>
        </w:rPr>
        <w:t>t for the entry to practice supervision</w:t>
      </w:r>
      <w:r w:rsidRPr="00FD719A">
        <w:rPr>
          <w:rFonts w:ascii="Arial" w:hAnsi="Arial" w:cs="Arial"/>
        </w:rPr>
        <w:t>. The final approval of the supervisor</w:t>
      </w:r>
      <w:r w:rsidR="00DA1A77">
        <w:rPr>
          <w:rFonts w:ascii="Arial" w:hAnsi="Arial" w:cs="Arial"/>
        </w:rPr>
        <w:t xml:space="preserve"> and site </w:t>
      </w:r>
      <w:r w:rsidRPr="00FD719A">
        <w:rPr>
          <w:rFonts w:ascii="Arial" w:hAnsi="Arial" w:cs="Arial"/>
        </w:rPr>
        <w:t>rest</w:t>
      </w:r>
      <w:r w:rsidR="00DA1A77">
        <w:rPr>
          <w:rFonts w:ascii="Arial" w:hAnsi="Arial" w:cs="Arial"/>
        </w:rPr>
        <w:t>s</w:t>
      </w:r>
      <w:r w:rsidRPr="00FD719A">
        <w:rPr>
          <w:rFonts w:ascii="Arial" w:hAnsi="Arial" w:cs="Arial"/>
        </w:rPr>
        <w:t xml:space="preserve"> with the regulatory authority.</w:t>
      </w:r>
    </w:p>
    <w:p w14:paraId="2F68C9F7" w14:textId="77777777" w:rsidR="00EA387F" w:rsidRPr="00FD719A" w:rsidRDefault="00EA387F" w:rsidP="00EA387F">
      <w:pPr>
        <w:rPr>
          <w:rFonts w:ascii="Arial" w:hAnsi="Arial" w:cs="Arial"/>
        </w:rPr>
      </w:pPr>
    </w:p>
    <w:p w14:paraId="6218CD4A" w14:textId="5425C9D6" w:rsidR="00EA387F" w:rsidRDefault="00EA387F" w:rsidP="00EA387F">
      <w:pPr>
        <w:rPr>
          <w:rFonts w:ascii="Arial" w:hAnsi="Arial" w:cs="Arial"/>
        </w:rPr>
      </w:pPr>
      <w:r w:rsidRPr="00FD719A">
        <w:rPr>
          <w:rFonts w:ascii="Arial" w:hAnsi="Arial" w:cs="Arial"/>
          <w:i/>
        </w:rPr>
        <w:t xml:space="preserve">Eligibility Criteria: </w:t>
      </w:r>
      <w:r w:rsidR="006C799B" w:rsidRPr="006C799B">
        <w:rPr>
          <w:rFonts w:ascii="Arial" w:hAnsi="Arial" w:cs="Arial"/>
        </w:rPr>
        <w:t xml:space="preserve"> Based on best practice, e</w:t>
      </w:r>
      <w:r w:rsidRPr="00FD719A">
        <w:rPr>
          <w:rFonts w:ascii="Arial" w:hAnsi="Arial" w:cs="Arial"/>
        </w:rPr>
        <w:t>ligibility criteri</w:t>
      </w:r>
      <w:r>
        <w:rPr>
          <w:rFonts w:ascii="Arial" w:hAnsi="Arial" w:cs="Arial"/>
        </w:rPr>
        <w:t>a for supervisors should include the following</w:t>
      </w:r>
      <w:r w:rsidRPr="00FD719A">
        <w:rPr>
          <w:rFonts w:ascii="Arial" w:hAnsi="Arial" w:cs="Arial"/>
        </w:rPr>
        <w:t>:</w:t>
      </w:r>
    </w:p>
    <w:p w14:paraId="6C887170" w14:textId="77777777" w:rsidR="00EA387F" w:rsidRPr="00FD719A" w:rsidRDefault="00EA387F" w:rsidP="00EA387F">
      <w:pPr>
        <w:rPr>
          <w:rFonts w:ascii="Arial" w:hAnsi="Arial" w:cs="Arial"/>
        </w:rPr>
      </w:pPr>
      <w:r>
        <w:rPr>
          <w:rFonts w:ascii="Arial" w:hAnsi="Arial" w:cs="Arial"/>
        </w:rPr>
        <w:t xml:space="preserve">The supervising physiotherapists </w:t>
      </w:r>
      <w:r w:rsidR="007F0B40">
        <w:rPr>
          <w:rFonts w:ascii="Arial" w:hAnsi="Arial" w:cs="Arial"/>
        </w:rPr>
        <w:t>must:</w:t>
      </w:r>
    </w:p>
    <w:p w14:paraId="4974C28F" w14:textId="2413F0DA" w:rsidR="00EA387F" w:rsidRPr="00FD215E" w:rsidRDefault="00EA387F" w:rsidP="00EA387F">
      <w:pPr>
        <w:numPr>
          <w:ilvl w:val="0"/>
          <w:numId w:val="10"/>
        </w:numPr>
        <w:spacing w:line="240" w:lineRule="auto"/>
        <w:rPr>
          <w:rFonts w:ascii="Arial" w:hAnsi="Arial" w:cs="Arial"/>
        </w:rPr>
      </w:pPr>
      <w:r w:rsidRPr="00FD215E">
        <w:rPr>
          <w:rFonts w:ascii="Arial" w:hAnsi="Arial" w:cs="Arial"/>
        </w:rPr>
        <w:t>be registered</w:t>
      </w:r>
      <w:r w:rsidR="000149E7" w:rsidRPr="00FD215E">
        <w:rPr>
          <w:rFonts w:ascii="Arial" w:hAnsi="Arial" w:cs="Arial"/>
        </w:rPr>
        <w:t xml:space="preserve"> and in good standing</w:t>
      </w:r>
      <w:r w:rsidRPr="00FD215E">
        <w:rPr>
          <w:rFonts w:ascii="Arial" w:hAnsi="Arial" w:cs="Arial"/>
        </w:rPr>
        <w:t xml:space="preserve"> in the jurisdiction in which the supervisee is gaining the experience, </w:t>
      </w:r>
    </w:p>
    <w:p w14:paraId="1F58BEF1" w14:textId="77777777" w:rsidR="00EA387F" w:rsidRPr="00FD215E" w:rsidRDefault="00EA387F" w:rsidP="00EA387F">
      <w:pPr>
        <w:numPr>
          <w:ilvl w:val="0"/>
          <w:numId w:val="10"/>
        </w:numPr>
        <w:spacing w:line="240" w:lineRule="auto"/>
        <w:rPr>
          <w:rFonts w:ascii="Arial" w:hAnsi="Arial" w:cs="Arial"/>
        </w:rPr>
      </w:pPr>
      <w:r w:rsidRPr="00FD215E">
        <w:rPr>
          <w:rFonts w:ascii="Arial" w:hAnsi="Arial" w:cs="Arial"/>
        </w:rPr>
        <w:t>hold an unrestricted license (e.g., not be subject to any fitness to practice proceedings or orders),</w:t>
      </w:r>
    </w:p>
    <w:p w14:paraId="2C0BAFA4" w14:textId="0CCB3E2E" w:rsidR="000149E7" w:rsidRPr="00FD215E" w:rsidRDefault="000149E7" w:rsidP="00EA387F">
      <w:pPr>
        <w:numPr>
          <w:ilvl w:val="0"/>
          <w:numId w:val="10"/>
        </w:numPr>
        <w:spacing w:line="240" w:lineRule="auto"/>
        <w:rPr>
          <w:rFonts w:ascii="Arial" w:hAnsi="Arial" w:cs="Arial"/>
        </w:rPr>
      </w:pPr>
      <w:r w:rsidRPr="00FD215E">
        <w:rPr>
          <w:rFonts w:ascii="Arial" w:hAnsi="Arial" w:cs="Arial"/>
        </w:rPr>
        <w:t>have no significant past history with the College that would prevent him/her being a competent supervisor</w:t>
      </w:r>
      <w:r w:rsidRPr="00FD215E">
        <w:rPr>
          <w:rStyle w:val="FootnoteReference"/>
          <w:rFonts w:ascii="Arial" w:hAnsi="Arial" w:cs="Arial"/>
        </w:rPr>
        <w:footnoteReference w:id="2"/>
      </w:r>
    </w:p>
    <w:p w14:paraId="2AA1F8F8" w14:textId="77777777" w:rsidR="00EA387F" w:rsidRPr="00FD719A" w:rsidRDefault="00EA387F" w:rsidP="00EA387F">
      <w:pPr>
        <w:numPr>
          <w:ilvl w:val="0"/>
          <w:numId w:val="10"/>
        </w:numPr>
        <w:spacing w:line="240" w:lineRule="auto"/>
        <w:rPr>
          <w:rFonts w:ascii="Arial" w:hAnsi="Arial" w:cs="Arial"/>
        </w:rPr>
      </w:pPr>
      <w:r w:rsidRPr="00FD215E">
        <w:rPr>
          <w:rFonts w:ascii="Arial" w:hAnsi="Arial" w:cs="Arial"/>
        </w:rPr>
        <w:t>have no conflict of interest</w:t>
      </w:r>
      <w:r>
        <w:rPr>
          <w:rFonts w:ascii="Arial" w:hAnsi="Arial" w:cs="Arial"/>
        </w:rPr>
        <w:t xml:space="preserve">  (e.g., no</w:t>
      </w:r>
      <w:r w:rsidRPr="00FD719A">
        <w:rPr>
          <w:rFonts w:ascii="Arial" w:hAnsi="Arial" w:cs="Arial"/>
        </w:rPr>
        <w:t xml:space="preserve"> relationship to the candidate)</w:t>
      </w:r>
      <w:r>
        <w:rPr>
          <w:rFonts w:ascii="Arial" w:hAnsi="Arial" w:cs="Arial"/>
        </w:rPr>
        <w:t>,</w:t>
      </w:r>
      <w:r w:rsidRPr="00FD719A">
        <w:rPr>
          <w:rFonts w:ascii="Arial" w:hAnsi="Arial" w:cs="Arial"/>
        </w:rPr>
        <w:t xml:space="preserve"> </w:t>
      </w:r>
    </w:p>
    <w:p w14:paraId="22D91EA2" w14:textId="34CC26FD" w:rsidR="00EA387F" w:rsidRDefault="00EA387F" w:rsidP="00EA387F">
      <w:pPr>
        <w:numPr>
          <w:ilvl w:val="0"/>
          <w:numId w:val="10"/>
        </w:numPr>
        <w:spacing w:line="240" w:lineRule="auto"/>
        <w:rPr>
          <w:rFonts w:ascii="Arial" w:hAnsi="Arial" w:cs="Arial"/>
        </w:rPr>
      </w:pPr>
      <w:r>
        <w:rPr>
          <w:rFonts w:ascii="Arial" w:hAnsi="Arial" w:cs="Arial"/>
        </w:rPr>
        <w:t>h</w:t>
      </w:r>
      <w:r w:rsidRPr="00FD719A">
        <w:rPr>
          <w:rFonts w:ascii="Arial" w:hAnsi="Arial" w:cs="Arial"/>
        </w:rPr>
        <w:t xml:space="preserve">ave a minimum number of </w:t>
      </w:r>
      <w:r w:rsidR="00DA1A77">
        <w:rPr>
          <w:rFonts w:ascii="Arial" w:hAnsi="Arial" w:cs="Arial"/>
        </w:rPr>
        <w:t xml:space="preserve">3 </w:t>
      </w:r>
      <w:r w:rsidRPr="00FD719A">
        <w:rPr>
          <w:rFonts w:ascii="Arial" w:hAnsi="Arial" w:cs="Arial"/>
        </w:rPr>
        <w:t xml:space="preserve">years of experience </w:t>
      </w:r>
      <w:r>
        <w:rPr>
          <w:rFonts w:ascii="Arial" w:hAnsi="Arial" w:cs="Arial"/>
        </w:rPr>
        <w:t>in indepen</w:t>
      </w:r>
      <w:r w:rsidR="00DA1A77">
        <w:rPr>
          <w:rFonts w:ascii="Arial" w:hAnsi="Arial" w:cs="Arial"/>
        </w:rPr>
        <w:t>dent practice in Canada,</w:t>
      </w:r>
    </w:p>
    <w:p w14:paraId="7E78ECD6" w14:textId="77777777" w:rsidR="00EA387F" w:rsidRDefault="00EA387F" w:rsidP="00EA387F">
      <w:pPr>
        <w:numPr>
          <w:ilvl w:val="0"/>
          <w:numId w:val="10"/>
        </w:numPr>
        <w:spacing w:line="240" w:lineRule="auto"/>
        <w:rPr>
          <w:rFonts w:ascii="Arial" w:hAnsi="Arial" w:cs="Arial"/>
        </w:rPr>
      </w:pPr>
      <w:r>
        <w:rPr>
          <w:rFonts w:ascii="Arial" w:hAnsi="Arial" w:cs="Arial"/>
        </w:rPr>
        <w:t>be able to assess the quality of the work performed (e.g., be working in the same area of practice), and</w:t>
      </w:r>
    </w:p>
    <w:p w14:paraId="0022D298" w14:textId="77777777" w:rsidR="00EA387F" w:rsidRDefault="00EA387F" w:rsidP="00EA387F">
      <w:pPr>
        <w:numPr>
          <w:ilvl w:val="0"/>
          <w:numId w:val="10"/>
        </w:numPr>
        <w:spacing w:line="240" w:lineRule="auto"/>
        <w:rPr>
          <w:rFonts w:ascii="Arial" w:hAnsi="Arial" w:cs="Arial"/>
        </w:rPr>
      </w:pPr>
      <w:r>
        <w:rPr>
          <w:rFonts w:ascii="Arial" w:hAnsi="Arial" w:cs="Arial"/>
        </w:rPr>
        <w:t>have the same employer as the supervisee.</w:t>
      </w:r>
    </w:p>
    <w:p w14:paraId="170074C1" w14:textId="77777777" w:rsidR="00DA1A77" w:rsidRPr="00FD719A" w:rsidRDefault="00DA1A77" w:rsidP="00DA1A77">
      <w:pPr>
        <w:spacing w:line="240" w:lineRule="auto"/>
        <w:rPr>
          <w:rFonts w:ascii="Arial" w:hAnsi="Arial" w:cs="Arial"/>
        </w:rPr>
      </w:pPr>
    </w:p>
    <w:p w14:paraId="52F5C6A4" w14:textId="77777777" w:rsidR="00EA387F" w:rsidRPr="00FD719A" w:rsidRDefault="00EA387F" w:rsidP="00EA387F">
      <w:pPr>
        <w:rPr>
          <w:rFonts w:ascii="Arial" w:hAnsi="Arial" w:cs="Arial"/>
        </w:rPr>
      </w:pPr>
    </w:p>
    <w:p w14:paraId="39D26EFA" w14:textId="078BD67A" w:rsidR="00EA387F" w:rsidRPr="00FD719A" w:rsidRDefault="00EA387F" w:rsidP="00EA387F">
      <w:pPr>
        <w:rPr>
          <w:rFonts w:ascii="Arial" w:hAnsi="Arial" w:cs="Arial"/>
        </w:rPr>
      </w:pPr>
      <w:r w:rsidRPr="00FD719A">
        <w:rPr>
          <w:rFonts w:ascii="Arial" w:hAnsi="Arial" w:cs="Arial"/>
          <w:i/>
        </w:rPr>
        <w:t>Information/Training</w:t>
      </w:r>
      <w:r w:rsidRPr="00FD719A">
        <w:rPr>
          <w:rFonts w:ascii="Arial" w:hAnsi="Arial" w:cs="Arial"/>
        </w:rPr>
        <w:t xml:space="preserve">: Information </w:t>
      </w:r>
      <w:r>
        <w:rPr>
          <w:rFonts w:ascii="Arial" w:hAnsi="Arial" w:cs="Arial"/>
        </w:rPr>
        <w:t>about the supervision role will be provided by the local physiotherapy regulator.  This information will describe</w:t>
      </w:r>
      <w:r w:rsidRPr="00FD719A">
        <w:rPr>
          <w:rFonts w:ascii="Arial" w:hAnsi="Arial" w:cs="Arial"/>
        </w:rPr>
        <w:t xml:space="preserve"> </w:t>
      </w:r>
      <w:r>
        <w:rPr>
          <w:rFonts w:ascii="Arial" w:hAnsi="Arial" w:cs="Arial"/>
        </w:rPr>
        <w:t xml:space="preserve">the expectations of and </w:t>
      </w:r>
      <w:r w:rsidRPr="00FD719A">
        <w:rPr>
          <w:rFonts w:ascii="Arial" w:hAnsi="Arial" w:cs="Arial"/>
        </w:rPr>
        <w:t xml:space="preserve">assist in preparing the supervisors and supervisees for </w:t>
      </w:r>
      <w:r>
        <w:rPr>
          <w:rFonts w:ascii="Arial" w:hAnsi="Arial" w:cs="Arial"/>
        </w:rPr>
        <w:t xml:space="preserve">the </w:t>
      </w:r>
      <w:r w:rsidRPr="00FD719A">
        <w:rPr>
          <w:rFonts w:ascii="Arial" w:hAnsi="Arial" w:cs="Arial"/>
        </w:rPr>
        <w:t>supervised practice</w:t>
      </w:r>
      <w:r>
        <w:rPr>
          <w:rFonts w:ascii="Arial" w:hAnsi="Arial" w:cs="Arial"/>
        </w:rPr>
        <w:t xml:space="preserve"> arrangement</w:t>
      </w:r>
      <w:r w:rsidRPr="00FD719A">
        <w:rPr>
          <w:rFonts w:ascii="Arial" w:hAnsi="Arial" w:cs="Arial"/>
        </w:rPr>
        <w:t xml:space="preserve">. An agreement or </w:t>
      </w:r>
      <w:r>
        <w:rPr>
          <w:rFonts w:ascii="Arial" w:hAnsi="Arial" w:cs="Arial"/>
        </w:rPr>
        <w:t xml:space="preserve">plan for the supervision period outlining the responsibilities of the supervisor and supervisee will </w:t>
      </w:r>
      <w:r w:rsidRPr="00FD719A">
        <w:rPr>
          <w:rFonts w:ascii="Arial" w:hAnsi="Arial" w:cs="Arial"/>
        </w:rPr>
        <w:t>be developed and signed b</w:t>
      </w:r>
      <w:r>
        <w:rPr>
          <w:rFonts w:ascii="Arial" w:hAnsi="Arial" w:cs="Arial"/>
        </w:rPr>
        <w:t>y both parties</w:t>
      </w:r>
      <w:r w:rsidRPr="00FD719A">
        <w:rPr>
          <w:rFonts w:ascii="Arial" w:hAnsi="Arial" w:cs="Arial"/>
        </w:rPr>
        <w:t xml:space="preserve"> and submitted to the regulatory autho</w:t>
      </w:r>
      <w:r>
        <w:rPr>
          <w:rFonts w:ascii="Arial" w:hAnsi="Arial" w:cs="Arial"/>
        </w:rPr>
        <w:t>rity at the outset of the period.</w:t>
      </w:r>
      <w:r w:rsidRPr="00FD719A">
        <w:rPr>
          <w:rFonts w:ascii="Arial" w:hAnsi="Arial" w:cs="Arial"/>
        </w:rPr>
        <w:t xml:space="preserve"> </w:t>
      </w:r>
    </w:p>
    <w:p w14:paraId="58F8362D" w14:textId="77777777" w:rsidR="00EA387F" w:rsidRPr="00FD719A" w:rsidRDefault="00EA387F" w:rsidP="00EA387F">
      <w:pPr>
        <w:rPr>
          <w:rFonts w:ascii="Arial" w:hAnsi="Arial" w:cs="Arial"/>
        </w:rPr>
      </w:pPr>
    </w:p>
    <w:p w14:paraId="45432F85" w14:textId="77777777" w:rsidR="00EA387F" w:rsidRPr="00757AE1" w:rsidRDefault="00EA387F" w:rsidP="00EA387F">
      <w:pPr>
        <w:rPr>
          <w:rFonts w:ascii="Arial" w:hAnsi="Arial" w:cs="Arial"/>
          <w:b/>
        </w:rPr>
      </w:pPr>
      <w:r w:rsidRPr="00757AE1">
        <w:rPr>
          <w:rFonts w:ascii="Arial" w:hAnsi="Arial" w:cs="Arial"/>
          <w:b/>
          <w:i/>
        </w:rPr>
        <w:t>Supervision Approach and Responsibilities</w:t>
      </w:r>
      <w:r w:rsidRPr="00757AE1">
        <w:rPr>
          <w:rFonts w:ascii="Arial" w:hAnsi="Arial" w:cs="Arial"/>
          <w:b/>
        </w:rPr>
        <w:t xml:space="preserve"> </w:t>
      </w:r>
    </w:p>
    <w:p w14:paraId="3D82CC9F" w14:textId="56E0C982" w:rsidR="00EA387F" w:rsidRDefault="00EA387F" w:rsidP="00EA387F">
      <w:pPr>
        <w:rPr>
          <w:rFonts w:ascii="Arial" w:hAnsi="Arial" w:cs="Arial"/>
        </w:rPr>
      </w:pPr>
      <w:r w:rsidRPr="00B548C9">
        <w:rPr>
          <w:rFonts w:ascii="Arial" w:hAnsi="Arial" w:cs="Arial"/>
          <w:i/>
        </w:rPr>
        <w:t>Supervision Approach:</w:t>
      </w:r>
      <w:r>
        <w:rPr>
          <w:rFonts w:ascii="Arial" w:hAnsi="Arial" w:cs="Arial"/>
          <w:i/>
        </w:rPr>
        <w:t xml:space="preserve"> </w:t>
      </w:r>
      <w:r>
        <w:rPr>
          <w:rFonts w:ascii="Arial" w:hAnsi="Arial" w:cs="Arial"/>
        </w:rPr>
        <w:t xml:space="preserve">The supervision approach in entry to practice situations must ensure safe delivery of physiotherapy services and the prevention of any undue risk of harm to the public. Since the supervisee has not yet been deemed competent to practice independently, it is </w:t>
      </w:r>
      <w:r w:rsidR="007F0B40">
        <w:rPr>
          <w:rFonts w:ascii="Arial" w:hAnsi="Arial" w:cs="Arial"/>
        </w:rPr>
        <w:t xml:space="preserve">the </w:t>
      </w:r>
      <w:r>
        <w:rPr>
          <w:rFonts w:ascii="Arial" w:hAnsi="Arial" w:cs="Arial"/>
        </w:rPr>
        <w:t>supervisor</w:t>
      </w:r>
      <w:r w:rsidR="007F0B40">
        <w:rPr>
          <w:rFonts w:ascii="Arial" w:hAnsi="Arial" w:cs="Arial"/>
        </w:rPr>
        <w:t>’s responsibility to</w:t>
      </w:r>
      <w:r>
        <w:rPr>
          <w:rFonts w:ascii="Arial" w:hAnsi="Arial" w:cs="Arial"/>
        </w:rPr>
        <w:t xml:space="preserve"> monitor the activities of the supervisee using both direct and </w:t>
      </w:r>
      <w:r w:rsidR="000149E7">
        <w:rPr>
          <w:rFonts w:ascii="Arial" w:hAnsi="Arial" w:cs="Arial"/>
        </w:rPr>
        <w:t xml:space="preserve">indirect methods of observation </w:t>
      </w:r>
      <w:r w:rsidR="000149E7" w:rsidRPr="00FD215E">
        <w:rPr>
          <w:rFonts w:ascii="Arial" w:hAnsi="Arial" w:cs="Arial"/>
        </w:rPr>
        <w:t>and to develop an appropriate supervision plan.</w:t>
      </w:r>
      <w:r>
        <w:rPr>
          <w:rFonts w:ascii="Arial" w:hAnsi="Arial" w:cs="Arial"/>
          <w:i/>
        </w:rPr>
        <w:t xml:space="preserve"> </w:t>
      </w:r>
      <w:r>
        <w:rPr>
          <w:rFonts w:ascii="Arial" w:hAnsi="Arial" w:cs="Arial"/>
        </w:rPr>
        <w:t xml:space="preserve">It is </w:t>
      </w:r>
      <w:r w:rsidR="00DA1A77">
        <w:rPr>
          <w:rFonts w:ascii="Arial" w:hAnsi="Arial" w:cs="Arial"/>
        </w:rPr>
        <w:t xml:space="preserve">also </w:t>
      </w:r>
      <w:r w:rsidR="007F0B40">
        <w:rPr>
          <w:rFonts w:ascii="Arial" w:hAnsi="Arial" w:cs="Arial"/>
        </w:rPr>
        <w:t xml:space="preserve">the responsibility </w:t>
      </w:r>
      <w:r w:rsidR="00DA1A77">
        <w:rPr>
          <w:rFonts w:ascii="Arial" w:hAnsi="Arial" w:cs="Arial"/>
        </w:rPr>
        <w:t>of</w:t>
      </w:r>
      <w:r>
        <w:rPr>
          <w:rFonts w:ascii="Arial" w:hAnsi="Arial" w:cs="Arial"/>
        </w:rPr>
        <w:t xml:space="preserve"> the supervisor </w:t>
      </w:r>
      <w:r w:rsidR="00DA1A77">
        <w:rPr>
          <w:rFonts w:ascii="Arial" w:hAnsi="Arial" w:cs="Arial"/>
        </w:rPr>
        <w:t xml:space="preserve">to </w:t>
      </w:r>
      <w:r>
        <w:rPr>
          <w:rFonts w:ascii="Arial" w:hAnsi="Arial" w:cs="Arial"/>
        </w:rPr>
        <w:t xml:space="preserve">evaluate the supervisee within the first 30 days of the period of supervised </w:t>
      </w:r>
      <w:r w:rsidRPr="00FD215E">
        <w:rPr>
          <w:rFonts w:ascii="Arial" w:hAnsi="Arial" w:cs="Arial"/>
        </w:rPr>
        <w:t>practice</w:t>
      </w:r>
      <w:r w:rsidR="00FD215E">
        <w:rPr>
          <w:rFonts w:ascii="Arial" w:hAnsi="Arial" w:cs="Arial"/>
        </w:rPr>
        <w:t>.</w:t>
      </w:r>
      <w:r w:rsidRPr="00FD215E">
        <w:rPr>
          <w:rFonts w:ascii="Arial" w:hAnsi="Arial" w:cs="Arial"/>
        </w:rPr>
        <w:t xml:space="preserve"> </w:t>
      </w:r>
      <w:r>
        <w:rPr>
          <w:rFonts w:ascii="Arial" w:hAnsi="Arial" w:cs="Arial"/>
        </w:rPr>
        <w:t xml:space="preserve">The specific methods and level of supervision will vary depending on the supervisor’s initial and ongoing assessments of the supervisee’s level of competency. Examples of methods of supervision include: direct observation, chart audits, meetings, case reviews, and feedback from peers and other team members. If a supervisee is unsuccessful in an attempt on the clinical component of the PCE, the supervisor should take this into account and adjust the </w:t>
      </w:r>
      <w:r>
        <w:rPr>
          <w:rFonts w:ascii="Arial" w:hAnsi="Arial" w:cs="Arial"/>
        </w:rPr>
        <w:lastRenderedPageBreak/>
        <w:t xml:space="preserve">supervision plan accordingly. In jurisdictions with restricted/authorized activities, supervisees may only perform activities they are authorized to perform and supervisors may only supervise activities that they are authorized to perform. </w:t>
      </w:r>
    </w:p>
    <w:p w14:paraId="5DF0B84A" w14:textId="77777777" w:rsidR="00EA387F" w:rsidRDefault="00EA387F" w:rsidP="00EA387F">
      <w:pPr>
        <w:rPr>
          <w:rFonts w:ascii="Arial" w:hAnsi="Arial" w:cs="Arial"/>
        </w:rPr>
      </w:pPr>
    </w:p>
    <w:p w14:paraId="76DAE87D" w14:textId="57609B05" w:rsidR="00EA387F" w:rsidRPr="00AC71BA" w:rsidRDefault="00EA387F" w:rsidP="00EA387F">
      <w:pPr>
        <w:rPr>
          <w:rFonts w:ascii="Arial" w:hAnsi="Arial" w:cs="Arial"/>
        </w:rPr>
      </w:pPr>
      <w:r w:rsidRPr="00AC71BA">
        <w:rPr>
          <w:rFonts w:ascii="Arial" w:hAnsi="Arial" w:cs="Arial"/>
          <w:i/>
        </w:rPr>
        <w:t>Responsibilitie</w:t>
      </w:r>
      <w:r>
        <w:rPr>
          <w:rFonts w:ascii="Arial" w:hAnsi="Arial" w:cs="Arial"/>
          <w:i/>
        </w:rPr>
        <w:t xml:space="preserve">s of </w:t>
      </w:r>
      <w:r w:rsidRPr="00AC71BA">
        <w:rPr>
          <w:rFonts w:ascii="Arial" w:hAnsi="Arial" w:cs="Arial"/>
          <w:i/>
        </w:rPr>
        <w:t>the</w:t>
      </w:r>
      <w:r>
        <w:rPr>
          <w:rFonts w:ascii="Arial" w:hAnsi="Arial" w:cs="Arial"/>
          <w:i/>
        </w:rPr>
        <w:t xml:space="preserve"> </w:t>
      </w:r>
      <w:r w:rsidRPr="00AC71BA">
        <w:rPr>
          <w:rFonts w:ascii="Arial" w:hAnsi="Arial" w:cs="Arial"/>
          <w:i/>
        </w:rPr>
        <w:t>Supervisor</w:t>
      </w:r>
      <w:r>
        <w:rPr>
          <w:rFonts w:ascii="Arial" w:hAnsi="Arial" w:cs="Arial"/>
        </w:rPr>
        <w:t xml:space="preserve">: Since the supervisor is required to either indirectly or directly monitor the activities of the supervisee, the </w:t>
      </w:r>
      <w:r w:rsidR="00DA1A77">
        <w:rPr>
          <w:rFonts w:ascii="Arial" w:hAnsi="Arial" w:cs="Arial"/>
        </w:rPr>
        <w:t>supervisor and supervisee will optimally</w:t>
      </w:r>
      <w:r>
        <w:rPr>
          <w:rFonts w:ascii="Arial" w:hAnsi="Arial" w:cs="Arial"/>
        </w:rPr>
        <w:t xml:space="preserve"> have the same employer. The supervisor should be on site to indirectly or directly monitor the activities of the supervisee until the initial evaluation is competed. Afterwards, the supervisor is expected to consider the individual needs of the supervisee and provide the necessary level of supervision to ensure safe delivery of physiotherapy services and protection of the public. </w:t>
      </w:r>
      <w:r w:rsidR="00DA1A77">
        <w:rPr>
          <w:rFonts w:ascii="Arial" w:hAnsi="Arial" w:cs="Arial"/>
        </w:rPr>
        <w:t xml:space="preserve">At this point, working with a delegate of the supervisor may be possible.  </w:t>
      </w:r>
      <w:r>
        <w:rPr>
          <w:rFonts w:ascii="Arial" w:hAnsi="Arial" w:cs="Arial"/>
        </w:rPr>
        <w:t xml:space="preserve">Availability by telecommunication may </w:t>
      </w:r>
      <w:r w:rsidR="00DA1A77">
        <w:rPr>
          <w:rFonts w:ascii="Arial" w:hAnsi="Arial" w:cs="Arial"/>
        </w:rPr>
        <w:t xml:space="preserve">also </w:t>
      </w:r>
      <w:r>
        <w:rPr>
          <w:rFonts w:ascii="Arial" w:hAnsi="Arial" w:cs="Arial"/>
        </w:rPr>
        <w:t>be considered in certain circumstances (e.g., supervisee has demonstrated good insight related to circumstances requiring supervisor input). Other responsibi</w:t>
      </w:r>
      <w:r w:rsidR="00DA1A77">
        <w:rPr>
          <w:rFonts w:ascii="Arial" w:hAnsi="Arial" w:cs="Arial"/>
        </w:rPr>
        <w:t xml:space="preserve">lities of the supervisor </w:t>
      </w:r>
      <w:r>
        <w:rPr>
          <w:rFonts w:ascii="Arial" w:hAnsi="Arial" w:cs="Arial"/>
        </w:rPr>
        <w:t>include: ensuring informed consent is obtained from the patient for involvement of supervisee; making arrangements for supervision when not available; ensuring employer comprehension and acceptance of professional obligations regarding supervision; notifying the regulatory authority of changes in supervisor; mandatory reporting of incompetence or misconduct; and completion and submission of evaluations as required. There may be multiple supervisors as long as one supervisor has primary responsibility.</w:t>
      </w:r>
    </w:p>
    <w:p w14:paraId="4715FC0B" w14:textId="77777777" w:rsidR="00EA387F" w:rsidRDefault="00EA387F" w:rsidP="00EA387F">
      <w:pPr>
        <w:rPr>
          <w:rFonts w:ascii="Arial" w:hAnsi="Arial" w:cs="Arial"/>
          <w:i/>
        </w:rPr>
      </w:pPr>
    </w:p>
    <w:p w14:paraId="31731CEC" w14:textId="57F832D7" w:rsidR="00EA387F" w:rsidRPr="00AC71BA" w:rsidRDefault="00EA387F" w:rsidP="00EA387F">
      <w:pPr>
        <w:rPr>
          <w:rFonts w:ascii="Arial" w:hAnsi="Arial" w:cs="Arial"/>
        </w:rPr>
      </w:pPr>
      <w:r w:rsidRPr="00AC71BA">
        <w:rPr>
          <w:rFonts w:ascii="Arial" w:hAnsi="Arial" w:cs="Arial"/>
          <w:i/>
        </w:rPr>
        <w:t>Responsibilitie</w:t>
      </w:r>
      <w:r>
        <w:rPr>
          <w:rFonts w:ascii="Arial" w:hAnsi="Arial" w:cs="Arial"/>
          <w:i/>
        </w:rPr>
        <w:t>s</w:t>
      </w:r>
      <w:r w:rsidRPr="00AC71BA">
        <w:rPr>
          <w:rFonts w:ascii="Arial" w:hAnsi="Arial" w:cs="Arial"/>
          <w:i/>
        </w:rPr>
        <w:t xml:space="preserve"> of the</w:t>
      </w:r>
      <w:r>
        <w:rPr>
          <w:rFonts w:ascii="Arial" w:hAnsi="Arial" w:cs="Arial"/>
          <w:i/>
        </w:rPr>
        <w:t xml:space="preserve"> Supervisee: </w:t>
      </w:r>
      <w:r>
        <w:rPr>
          <w:rFonts w:ascii="Arial" w:hAnsi="Arial" w:cs="Arial"/>
        </w:rPr>
        <w:t xml:space="preserve">The supervisee may be in either a part-time or full-time position. The supervisee is accountable for his/her actions and should have the same requirements for liability insurance as a full registrant. The supervisee </w:t>
      </w:r>
      <w:r w:rsidR="00DA1A77">
        <w:rPr>
          <w:rFonts w:ascii="Arial" w:hAnsi="Arial" w:cs="Arial"/>
        </w:rPr>
        <w:t>is also</w:t>
      </w:r>
      <w:r>
        <w:rPr>
          <w:rFonts w:ascii="Arial" w:hAnsi="Arial" w:cs="Arial"/>
        </w:rPr>
        <w:t xml:space="preserve"> responsible for notifying the regulatory authority of changes in supervision.  </w:t>
      </w:r>
    </w:p>
    <w:p w14:paraId="282944EE" w14:textId="77777777" w:rsidR="00EA387F" w:rsidRDefault="00EA387F" w:rsidP="00EA387F">
      <w:pPr>
        <w:rPr>
          <w:rFonts w:ascii="Arial" w:hAnsi="Arial" w:cs="Arial"/>
          <w:b/>
          <w:i/>
        </w:rPr>
      </w:pPr>
    </w:p>
    <w:p w14:paraId="524624F8" w14:textId="77777777" w:rsidR="00EA387F" w:rsidRDefault="00EA387F" w:rsidP="00EA387F">
      <w:pPr>
        <w:rPr>
          <w:rFonts w:ascii="Arial" w:hAnsi="Arial" w:cs="Arial"/>
          <w:b/>
          <w:i/>
        </w:rPr>
      </w:pPr>
      <w:r w:rsidRPr="00B548C9">
        <w:rPr>
          <w:rFonts w:ascii="Arial" w:hAnsi="Arial" w:cs="Arial"/>
          <w:b/>
          <w:i/>
        </w:rPr>
        <w:t>Evaluation/Monitoring</w:t>
      </w:r>
    </w:p>
    <w:p w14:paraId="68051502" w14:textId="0699AD26" w:rsidR="00EA387F" w:rsidRDefault="00EA387F" w:rsidP="00EA387F">
      <w:pPr>
        <w:rPr>
          <w:rFonts w:ascii="Arial" w:hAnsi="Arial" w:cs="Arial"/>
        </w:rPr>
      </w:pPr>
      <w:r>
        <w:rPr>
          <w:rFonts w:ascii="Arial" w:hAnsi="Arial" w:cs="Arial"/>
          <w:i/>
        </w:rPr>
        <w:t xml:space="preserve">Evaluation Requirements: </w:t>
      </w:r>
      <w:r>
        <w:rPr>
          <w:rFonts w:ascii="Arial" w:hAnsi="Arial" w:cs="Arial"/>
        </w:rPr>
        <w:t xml:space="preserve">The supervisor </w:t>
      </w:r>
      <w:r w:rsidR="00DA1A77">
        <w:rPr>
          <w:rFonts w:ascii="Arial" w:hAnsi="Arial" w:cs="Arial"/>
        </w:rPr>
        <w:t>must</w:t>
      </w:r>
      <w:r>
        <w:rPr>
          <w:rFonts w:ascii="Arial" w:hAnsi="Arial" w:cs="Arial"/>
        </w:rPr>
        <w:t xml:space="preserve"> evaluate the supervisee within the first 30 days of the period of supervised practice to determine an appropriate level of supervision. Regulatory authorities and supervisors should consider arrangements for ongoing monitoring and a progress report given to the supervisee during longer periods of supervision so that the level of supervision can be adjusted accordingly. A final evaluation should be completed at the end of the period of supervision </w:t>
      </w:r>
      <w:r w:rsidRPr="00AA0301">
        <w:rPr>
          <w:rFonts w:ascii="Arial" w:hAnsi="Arial" w:cs="Arial"/>
        </w:rPr>
        <w:t>and sent to the regulatory authority.</w:t>
      </w:r>
      <w:r>
        <w:rPr>
          <w:rFonts w:ascii="Arial" w:hAnsi="Arial" w:cs="Arial"/>
        </w:rPr>
        <w:t xml:space="preserve"> </w:t>
      </w:r>
    </w:p>
    <w:p w14:paraId="2603E28B" w14:textId="77777777" w:rsidR="00EA387F" w:rsidRDefault="00EA387F" w:rsidP="00EA387F">
      <w:pPr>
        <w:rPr>
          <w:rFonts w:ascii="Arial" w:hAnsi="Arial" w:cs="Arial"/>
        </w:rPr>
      </w:pPr>
    </w:p>
    <w:p w14:paraId="7E16A8C9" w14:textId="541BB5DC" w:rsidR="00EA387F" w:rsidRDefault="00EA387F" w:rsidP="00EA387F">
      <w:pPr>
        <w:rPr>
          <w:rFonts w:ascii="Arial" w:hAnsi="Arial" w:cs="Arial"/>
        </w:rPr>
      </w:pPr>
      <w:r w:rsidRPr="006B299A">
        <w:rPr>
          <w:rFonts w:ascii="Arial" w:hAnsi="Arial" w:cs="Arial"/>
          <w:i/>
        </w:rPr>
        <w:t>Evaluation Tool</w:t>
      </w:r>
      <w:r>
        <w:rPr>
          <w:rFonts w:ascii="Arial" w:hAnsi="Arial" w:cs="Arial"/>
        </w:rPr>
        <w:t>: Whenever possible, an evaluation tool that has been determined to be valid and reliable for measuring entry level competence of physiotherapists should be utilized to evaluate supervisees in entry to practice supervision situations (e.g., Clinical Performance Instrument – CPI or equivalent)</w:t>
      </w:r>
      <w:r w:rsidR="00DA1A77">
        <w:rPr>
          <w:rFonts w:ascii="Arial" w:hAnsi="Arial" w:cs="Arial"/>
        </w:rPr>
        <w:t>.</w:t>
      </w:r>
    </w:p>
    <w:p w14:paraId="4656335C" w14:textId="77777777" w:rsidR="00EA387F" w:rsidRDefault="00EA387F" w:rsidP="00EA387F">
      <w:pPr>
        <w:rPr>
          <w:rFonts w:ascii="Arial" w:hAnsi="Arial" w:cs="Arial"/>
        </w:rPr>
      </w:pPr>
    </w:p>
    <w:p w14:paraId="73FD3280" w14:textId="68CFE434" w:rsidR="00EA387F" w:rsidRDefault="00EA387F" w:rsidP="00EA387F">
      <w:pPr>
        <w:rPr>
          <w:rFonts w:ascii="Arial" w:hAnsi="Arial" w:cs="Arial"/>
        </w:rPr>
      </w:pPr>
      <w:r w:rsidRPr="006B299A">
        <w:rPr>
          <w:rFonts w:ascii="Arial" w:hAnsi="Arial" w:cs="Arial"/>
          <w:i/>
        </w:rPr>
        <w:t>Monitoring</w:t>
      </w:r>
      <w:r>
        <w:rPr>
          <w:rFonts w:ascii="Arial" w:hAnsi="Arial" w:cs="Arial"/>
          <w:i/>
        </w:rPr>
        <w:t xml:space="preserve"> of Supervisee Evaluations by Regulatory Authority:</w:t>
      </w:r>
      <w:r w:rsidRPr="00AA0301">
        <w:rPr>
          <w:rFonts w:ascii="Arial" w:hAnsi="Arial" w:cs="Arial"/>
        </w:rPr>
        <w:t xml:space="preserve"> </w:t>
      </w:r>
      <w:r w:rsidR="00276AE2">
        <w:rPr>
          <w:rFonts w:ascii="Arial" w:hAnsi="Arial" w:cs="Arial"/>
        </w:rPr>
        <w:t xml:space="preserve">The regulatory authority is responsible for </w:t>
      </w:r>
      <w:r>
        <w:rPr>
          <w:rFonts w:ascii="Arial" w:hAnsi="Arial" w:cs="Arial"/>
        </w:rPr>
        <w:t>monitor</w:t>
      </w:r>
      <w:r w:rsidR="00276AE2">
        <w:rPr>
          <w:rFonts w:ascii="Arial" w:hAnsi="Arial" w:cs="Arial"/>
        </w:rPr>
        <w:t>ing</w:t>
      </w:r>
      <w:r>
        <w:rPr>
          <w:rFonts w:ascii="Arial" w:hAnsi="Arial" w:cs="Arial"/>
        </w:rPr>
        <w:t xml:space="preserve"> the evaluations of supervisees that have been identified as having performance issues during the supervised practice or failure(s) on the examination. When possible, the regulatory authority should consider conducting random reviews of the final evaluations. </w:t>
      </w:r>
    </w:p>
    <w:p w14:paraId="53874FC9" w14:textId="77777777" w:rsidR="00EA387F" w:rsidRDefault="00EA387F" w:rsidP="00EA387F">
      <w:pPr>
        <w:rPr>
          <w:rFonts w:ascii="Arial" w:hAnsi="Arial" w:cs="Arial"/>
        </w:rPr>
      </w:pPr>
    </w:p>
    <w:p w14:paraId="090CB275" w14:textId="5FFEB659" w:rsidR="00EA387F" w:rsidRDefault="00EA387F" w:rsidP="00EA387F">
      <w:pPr>
        <w:rPr>
          <w:rFonts w:ascii="Arial" w:hAnsi="Arial" w:cs="Arial"/>
        </w:rPr>
      </w:pPr>
      <w:r w:rsidRPr="00E878EF">
        <w:rPr>
          <w:rFonts w:ascii="Arial" w:hAnsi="Arial" w:cs="Arial"/>
          <w:i/>
        </w:rPr>
        <w:t>Formal Monitoring of</w:t>
      </w:r>
      <w:r>
        <w:rPr>
          <w:rFonts w:ascii="Arial" w:hAnsi="Arial" w:cs="Arial"/>
          <w:i/>
        </w:rPr>
        <w:t xml:space="preserve"> Entry Level Supervision by the Regulatory Authority:</w:t>
      </w:r>
      <w:r>
        <w:rPr>
          <w:rFonts w:ascii="Arial" w:hAnsi="Arial" w:cs="Arial"/>
        </w:rPr>
        <w:t xml:space="preserve"> Regulatory authorities should monitor their entry to practice supervision programs in terms of numbers of participants, performance issues during the supervision period, and any subsequent complaints.  </w:t>
      </w:r>
      <w:r w:rsidR="00276AE2">
        <w:rPr>
          <w:rFonts w:ascii="Arial" w:hAnsi="Arial" w:cs="Arial"/>
        </w:rPr>
        <w:lastRenderedPageBreak/>
        <w:t>A</w:t>
      </w:r>
      <w:r>
        <w:rPr>
          <w:rFonts w:ascii="Arial" w:hAnsi="Arial" w:cs="Arial"/>
        </w:rPr>
        <w:t>nalysis of pan-Canadian data from the individual regulatory authorities</w:t>
      </w:r>
      <w:r w:rsidR="00276AE2">
        <w:rPr>
          <w:rFonts w:ascii="Arial" w:hAnsi="Arial" w:cs="Arial"/>
        </w:rPr>
        <w:t xml:space="preserve"> is desirable</w:t>
      </w:r>
      <w:r>
        <w:rPr>
          <w:rFonts w:ascii="Arial" w:hAnsi="Arial" w:cs="Arial"/>
        </w:rPr>
        <w:t xml:space="preserve"> for educational and comparison purposes.  </w:t>
      </w:r>
    </w:p>
    <w:p w14:paraId="49A65FDB" w14:textId="77777777" w:rsidR="00276AE2" w:rsidRDefault="00276AE2" w:rsidP="00EA387F">
      <w:pPr>
        <w:rPr>
          <w:rFonts w:ascii="Arial" w:hAnsi="Arial" w:cs="Arial"/>
        </w:rPr>
      </w:pPr>
    </w:p>
    <w:p w14:paraId="0EB82123" w14:textId="48DC079E" w:rsidR="00276AE2" w:rsidRPr="00276AE2" w:rsidRDefault="00276AE2" w:rsidP="00EA387F">
      <w:pPr>
        <w:rPr>
          <w:rFonts w:ascii="Arial" w:hAnsi="Arial" w:cs="Arial"/>
          <w:b/>
        </w:rPr>
      </w:pPr>
      <w:r w:rsidRPr="00276AE2">
        <w:rPr>
          <w:rFonts w:ascii="Arial" w:hAnsi="Arial" w:cs="Arial"/>
          <w:b/>
        </w:rPr>
        <w:t>Review</w:t>
      </w:r>
    </w:p>
    <w:p w14:paraId="4726DD37" w14:textId="77777777" w:rsidR="00EA387F" w:rsidRPr="00276AE2" w:rsidRDefault="00EA387F" w:rsidP="00EA387F">
      <w:pPr>
        <w:rPr>
          <w:rFonts w:ascii="Arial" w:hAnsi="Arial" w:cs="Arial"/>
        </w:rPr>
      </w:pPr>
    </w:p>
    <w:p w14:paraId="069CE653" w14:textId="089F63A9" w:rsidR="00EF7604" w:rsidRPr="00FD215E" w:rsidRDefault="00276AE2" w:rsidP="00EF7604">
      <w:pPr>
        <w:sectPr w:rsidR="00EF7604" w:rsidRPr="00FD215E" w:rsidSect="00EF760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r w:rsidRPr="00276AE2">
        <w:rPr>
          <w:rFonts w:ascii="Arial" w:hAnsi="Arial" w:cs="Arial"/>
        </w:rPr>
        <w:t>This framework should be reviewed by the Registrars’ Committee a year after implementation and at regular intervals subsequent to implementation.</w:t>
      </w:r>
      <w:r w:rsidR="00EF7604">
        <w:br w:type="page"/>
      </w:r>
    </w:p>
    <w:p w14:paraId="0ACFF067" w14:textId="1C41BB3A" w:rsidR="008D0CAB" w:rsidRDefault="008D0CAB" w:rsidP="00FD215E"/>
    <w:sectPr w:rsidR="008D0CAB" w:rsidSect="00EF76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B7C85" w14:textId="77777777" w:rsidR="00790E95" w:rsidRDefault="00790E95" w:rsidP="006C799B">
      <w:pPr>
        <w:spacing w:line="240" w:lineRule="auto"/>
      </w:pPr>
      <w:r>
        <w:separator/>
      </w:r>
    </w:p>
  </w:endnote>
  <w:endnote w:type="continuationSeparator" w:id="0">
    <w:p w14:paraId="2E0FCC1E" w14:textId="77777777" w:rsidR="00790E95" w:rsidRDefault="00790E95" w:rsidP="006C7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82DF" w14:textId="77777777" w:rsidR="0050177D" w:rsidRDefault="005017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C4C5D" w14:textId="77777777" w:rsidR="0050177D" w:rsidRDefault="0050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B58CF" w14:textId="77777777" w:rsidR="0050177D" w:rsidRDefault="0050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8785" w14:textId="77777777" w:rsidR="00790E95" w:rsidRDefault="00790E95" w:rsidP="006C799B">
      <w:pPr>
        <w:spacing w:line="240" w:lineRule="auto"/>
      </w:pPr>
      <w:r>
        <w:separator/>
      </w:r>
    </w:p>
  </w:footnote>
  <w:footnote w:type="continuationSeparator" w:id="0">
    <w:p w14:paraId="577A5F4B" w14:textId="77777777" w:rsidR="00790E95" w:rsidRDefault="00790E95" w:rsidP="006C799B">
      <w:pPr>
        <w:spacing w:line="240" w:lineRule="auto"/>
      </w:pPr>
      <w:r>
        <w:continuationSeparator/>
      </w:r>
    </w:p>
  </w:footnote>
  <w:footnote w:id="1">
    <w:p w14:paraId="5C43C353" w14:textId="00426B6A" w:rsidR="0081637C" w:rsidRPr="0081637C" w:rsidRDefault="0081637C">
      <w:pPr>
        <w:pStyle w:val="FootnoteText"/>
        <w:rPr>
          <w:sz w:val="18"/>
          <w:szCs w:val="18"/>
        </w:rPr>
      </w:pPr>
      <w:r w:rsidRPr="00FD215E">
        <w:rPr>
          <w:rStyle w:val="FootnoteReference"/>
          <w:rFonts w:ascii="Arial" w:hAnsi="Arial" w:cs="Arial"/>
          <w:sz w:val="18"/>
          <w:szCs w:val="18"/>
        </w:rPr>
        <w:footnoteRef/>
      </w:r>
      <w:r w:rsidRPr="00FD215E">
        <w:rPr>
          <w:rFonts w:ascii="Arial" w:hAnsi="Arial" w:cs="Arial"/>
          <w:sz w:val="18"/>
          <w:szCs w:val="18"/>
        </w:rPr>
        <w:t xml:space="preserve"> Some jurisdictions will likely exceed the practices set out in the framework, while others may not be able to fully meet them</w:t>
      </w:r>
      <w:r w:rsidR="000149E7" w:rsidRPr="00FD215E">
        <w:rPr>
          <w:rFonts w:ascii="Arial" w:hAnsi="Arial" w:cs="Arial"/>
          <w:sz w:val="18"/>
          <w:szCs w:val="18"/>
        </w:rPr>
        <w:t>.</w:t>
      </w:r>
    </w:p>
  </w:footnote>
  <w:footnote w:id="2">
    <w:p w14:paraId="6C1D277A" w14:textId="5D8CAE26" w:rsidR="000149E7" w:rsidRPr="000149E7" w:rsidRDefault="000149E7">
      <w:pPr>
        <w:pStyle w:val="FootnoteText"/>
        <w:rPr>
          <w:rFonts w:ascii="Arial" w:hAnsi="Arial" w:cs="Arial"/>
          <w:sz w:val="18"/>
          <w:szCs w:val="18"/>
        </w:rPr>
      </w:pPr>
      <w:r w:rsidRPr="000149E7">
        <w:rPr>
          <w:rStyle w:val="FootnoteReference"/>
          <w:rFonts w:ascii="Arial" w:hAnsi="Arial" w:cs="Arial"/>
          <w:sz w:val="18"/>
          <w:szCs w:val="18"/>
        </w:rPr>
        <w:footnoteRef/>
      </w:r>
      <w:r w:rsidRPr="000149E7">
        <w:rPr>
          <w:rFonts w:ascii="Arial" w:hAnsi="Arial" w:cs="Arial"/>
          <w:sz w:val="18"/>
          <w:szCs w:val="18"/>
        </w:rPr>
        <w:t xml:space="preserve"> To be determined by each individual College.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3105" w14:textId="77777777" w:rsidR="0050177D" w:rsidRDefault="00501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D9A0" w14:textId="5B69FA31" w:rsidR="007732B0" w:rsidRPr="007732B0" w:rsidRDefault="007732B0" w:rsidP="007732B0">
    <w:pPr>
      <w:pStyle w:val="Header"/>
      <w:jc w:val="right"/>
      <w:rPr>
        <w:rFonts w:asciiTheme="minorHAnsi" w:hAnsiTheme="minorHAnsi" w:cstheme="minorHAnsi"/>
        <w:sz w:val="16"/>
        <w:szCs w:val="16"/>
      </w:rPr>
    </w:pPr>
    <w:bookmarkStart w:id="0" w:name="_GoBack"/>
    <w:bookmarkEnd w:id="0"/>
  </w:p>
  <w:p w14:paraId="1BD037B2" w14:textId="77777777" w:rsidR="007732B0" w:rsidRDefault="00773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8544" w14:textId="77777777" w:rsidR="0050177D" w:rsidRDefault="0050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ECC"/>
    <w:multiLevelType w:val="hybridMultilevel"/>
    <w:tmpl w:val="23500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36113"/>
    <w:multiLevelType w:val="hybridMultilevel"/>
    <w:tmpl w:val="062C3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B45A60"/>
    <w:multiLevelType w:val="hybridMultilevel"/>
    <w:tmpl w:val="A5AC5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8642B"/>
    <w:multiLevelType w:val="multilevel"/>
    <w:tmpl w:val="157A32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2B77868"/>
    <w:multiLevelType w:val="hybridMultilevel"/>
    <w:tmpl w:val="155CC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B878F7"/>
    <w:multiLevelType w:val="hybridMultilevel"/>
    <w:tmpl w:val="E5487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834053"/>
    <w:multiLevelType w:val="hybridMultilevel"/>
    <w:tmpl w:val="FF62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4B362D"/>
    <w:multiLevelType w:val="hybridMultilevel"/>
    <w:tmpl w:val="11681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FF74C3"/>
    <w:multiLevelType w:val="hybridMultilevel"/>
    <w:tmpl w:val="637C2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7B79B4"/>
    <w:multiLevelType w:val="hybridMultilevel"/>
    <w:tmpl w:val="A55E86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766FB1"/>
    <w:multiLevelType w:val="hybridMultilevel"/>
    <w:tmpl w:val="333E43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FE13A51"/>
    <w:multiLevelType w:val="hybridMultilevel"/>
    <w:tmpl w:val="04D6C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8"/>
  </w:num>
  <w:num w:numId="6">
    <w:abstractNumId w:val="7"/>
  </w:num>
  <w:num w:numId="7">
    <w:abstractNumId w:val="1"/>
  </w:num>
  <w:num w:numId="8">
    <w:abstractNumId w:val="9"/>
  </w:num>
  <w:num w:numId="9">
    <w:abstractNumId w:val="2"/>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90"/>
    <w:rsid w:val="000149E7"/>
    <w:rsid w:val="00016BF9"/>
    <w:rsid w:val="000B7667"/>
    <w:rsid w:val="00136BDC"/>
    <w:rsid w:val="00145C90"/>
    <w:rsid w:val="001E0A57"/>
    <w:rsid w:val="0025113C"/>
    <w:rsid w:val="00276AE2"/>
    <w:rsid w:val="0029585E"/>
    <w:rsid w:val="002F7B1F"/>
    <w:rsid w:val="00304891"/>
    <w:rsid w:val="00463D99"/>
    <w:rsid w:val="00481B40"/>
    <w:rsid w:val="004E2F9F"/>
    <w:rsid w:val="0050177D"/>
    <w:rsid w:val="0053428A"/>
    <w:rsid w:val="005714F4"/>
    <w:rsid w:val="00606BA3"/>
    <w:rsid w:val="006C799B"/>
    <w:rsid w:val="007732B0"/>
    <w:rsid w:val="00787290"/>
    <w:rsid w:val="00787333"/>
    <w:rsid w:val="0079074F"/>
    <w:rsid w:val="00790E95"/>
    <w:rsid w:val="007F0B40"/>
    <w:rsid w:val="0081637C"/>
    <w:rsid w:val="00884E55"/>
    <w:rsid w:val="008A6A11"/>
    <w:rsid w:val="008C4F89"/>
    <w:rsid w:val="008D0CAB"/>
    <w:rsid w:val="00957270"/>
    <w:rsid w:val="009630A5"/>
    <w:rsid w:val="00AA48C4"/>
    <w:rsid w:val="00AC0D6D"/>
    <w:rsid w:val="00AE207E"/>
    <w:rsid w:val="00B16741"/>
    <w:rsid w:val="00B167B8"/>
    <w:rsid w:val="00BB4825"/>
    <w:rsid w:val="00BF10BC"/>
    <w:rsid w:val="00BF423C"/>
    <w:rsid w:val="00C03949"/>
    <w:rsid w:val="00C505DF"/>
    <w:rsid w:val="00C65455"/>
    <w:rsid w:val="00C74315"/>
    <w:rsid w:val="00D509E7"/>
    <w:rsid w:val="00D65146"/>
    <w:rsid w:val="00D70344"/>
    <w:rsid w:val="00D921D5"/>
    <w:rsid w:val="00DA1A77"/>
    <w:rsid w:val="00DB79CE"/>
    <w:rsid w:val="00E51B0B"/>
    <w:rsid w:val="00E90595"/>
    <w:rsid w:val="00EA387F"/>
    <w:rsid w:val="00EA6A56"/>
    <w:rsid w:val="00EB02DA"/>
    <w:rsid w:val="00EB112D"/>
    <w:rsid w:val="00EF7604"/>
    <w:rsid w:val="00F3476C"/>
    <w:rsid w:val="00F3624D"/>
    <w:rsid w:val="00F87355"/>
    <w:rsid w:val="00FD21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9B428A"/>
  <w15:docId w15:val="{D06AE8DC-79FD-47D3-889D-FEA168E4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line="27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2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290"/>
    <w:pPr>
      <w:ind w:left="720"/>
      <w:contextualSpacing/>
    </w:pPr>
  </w:style>
  <w:style w:type="character" w:styleId="Hyperlink">
    <w:name w:val="Hyperlink"/>
    <w:basedOn w:val="DefaultParagraphFont"/>
    <w:uiPriority w:val="99"/>
    <w:semiHidden/>
    <w:unhideWhenUsed/>
    <w:rsid w:val="00D509E7"/>
    <w:rPr>
      <w:color w:val="0000FF"/>
      <w:u w:val="single"/>
    </w:rPr>
  </w:style>
  <w:style w:type="paragraph" w:customStyle="1" w:styleId="Default">
    <w:name w:val="Default"/>
    <w:rsid w:val="00EA387F"/>
    <w:pPr>
      <w:autoSpaceDE w:val="0"/>
      <w:autoSpaceDN w:val="0"/>
      <w:adjustRightInd w:val="0"/>
      <w:spacing w:line="240" w:lineRule="auto"/>
    </w:pPr>
    <w:rPr>
      <w:rFonts w:ascii="Calibri" w:eastAsia="Times New Roman" w:hAnsi="Calibri" w:cs="Times New Roman"/>
      <w:color w:val="000000"/>
      <w:sz w:val="24"/>
      <w:szCs w:val="24"/>
    </w:rPr>
  </w:style>
  <w:style w:type="character" w:styleId="CommentReference">
    <w:name w:val="annotation reference"/>
    <w:basedOn w:val="DefaultParagraphFont"/>
    <w:uiPriority w:val="99"/>
    <w:semiHidden/>
    <w:unhideWhenUsed/>
    <w:rsid w:val="007F0B40"/>
    <w:rPr>
      <w:sz w:val="16"/>
      <w:szCs w:val="16"/>
    </w:rPr>
  </w:style>
  <w:style w:type="paragraph" w:styleId="CommentText">
    <w:name w:val="annotation text"/>
    <w:basedOn w:val="Normal"/>
    <w:link w:val="CommentTextChar"/>
    <w:uiPriority w:val="99"/>
    <w:semiHidden/>
    <w:unhideWhenUsed/>
    <w:rsid w:val="007F0B40"/>
    <w:pPr>
      <w:spacing w:line="240" w:lineRule="auto"/>
    </w:pPr>
    <w:rPr>
      <w:sz w:val="20"/>
      <w:szCs w:val="20"/>
    </w:rPr>
  </w:style>
  <w:style w:type="character" w:customStyle="1" w:styleId="CommentTextChar">
    <w:name w:val="Comment Text Char"/>
    <w:basedOn w:val="DefaultParagraphFont"/>
    <w:link w:val="CommentText"/>
    <w:uiPriority w:val="99"/>
    <w:semiHidden/>
    <w:rsid w:val="007F0B40"/>
    <w:rPr>
      <w:sz w:val="20"/>
      <w:szCs w:val="20"/>
    </w:rPr>
  </w:style>
  <w:style w:type="paragraph" w:styleId="CommentSubject">
    <w:name w:val="annotation subject"/>
    <w:basedOn w:val="CommentText"/>
    <w:next w:val="CommentText"/>
    <w:link w:val="CommentSubjectChar"/>
    <w:uiPriority w:val="99"/>
    <w:semiHidden/>
    <w:unhideWhenUsed/>
    <w:rsid w:val="007F0B40"/>
    <w:rPr>
      <w:b/>
      <w:bCs/>
    </w:rPr>
  </w:style>
  <w:style w:type="character" w:customStyle="1" w:styleId="CommentSubjectChar">
    <w:name w:val="Comment Subject Char"/>
    <w:basedOn w:val="CommentTextChar"/>
    <w:link w:val="CommentSubject"/>
    <w:uiPriority w:val="99"/>
    <w:semiHidden/>
    <w:rsid w:val="007F0B40"/>
    <w:rPr>
      <w:b/>
      <w:bCs/>
      <w:sz w:val="20"/>
      <w:szCs w:val="20"/>
    </w:rPr>
  </w:style>
  <w:style w:type="paragraph" w:styleId="BalloonText">
    <w:name w:val="Balloon Text"/>
    <w:basedOn w:val="Normal"/>
    <w:link w:val="BalloonTextChar"/>
    <w:uiPriority w:val="99"/>
    <w:semiHidden/>
    <w:unhideWhenUsed/>
    <w:rsid w:val="007F0B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B40"/>
    <w:rPr>
      <w:rFonts w:ascii="Segoe UI" w:hAnsi="Segoe UI" w:cs="Segoe UI"/>
      <w:sz w:val="18"/>
      <w:szCs w:val="18"/>
    </w:rPr>
  </w:style>
  <w:style w:type="character" w:styleId="FootnoteReference">
    <w:name w:val="footnote reference"/>
    <w:semiHidden/>
    <w:rsid w:val="00EA6A56"/>
    <w:rPr>
      <w:vertAlign w:val="superscript"/>
    </w:rPr>
  </w:style>
  <w:style w:type="paragraph" w:styleId="FootnoteText">
    <w:name w:val="footnote text"/>
    <w:basedOn w:val="Normal"/>
    <w:link w:val="FootnoteTextChar"/>
    <w:uiPriority w:val="99"/>
    <w:semiHidden/>
    <w:unhideWhenUsed/>
    <w:rsid w:val="006C799B"/>
    <w:pPr>
      <w:spacing w:line="240" w:lineRule="auto"/>
    </w:pPr>
    <w:rPr>
      <w:sz w:val="20"/>
      <w:szCs w:val="20"/>
    </w:rPr>
  </w:style>
  <w:style w:type="character" w:customStyle="1" w:styleId="FootnoteTextChar">
    <w:name w:val="Footnote Text Char"/>
    <w:basedOn w:val="DefaultParagraphFont"/>
    <w:link w:val="FootnoteText"/>
    <w:uiPriority w:val="99"/>
    <w:semiHidden/>
    <w:rsid w:val="006C799B"/>
    <w:rPr>
      <w:sz w:val="20"/>
      <w:szCs w:val="20"/>
    </w:rPr>
  </w:style>
  <w:style w:type="paragraph" w:styleId="Revision">
    <w:name w:val="Revision"/>
    <w:hidden/>
    <w:uiPriority w:val="99"/>
    <w:semiHidden/>
    <w:rsid w:val="00DA1A77"/>
    <w:pPr>
      <w:spacing w:line="240" w:lineRule="auto"/>
    </w:pPr>
  </w:style>
  <w:style w:type="paragraph" w:styleId="Header">
    <w:name w:val="header"/>
    <w:basedOn w:val="Normal"/>
    <w:link w:val="HeaderChar"/>
    <w:uiPriority w:val="99"/>
    <w:unhideWhenUsed/>
    <w:rsid w:val="007732B0"/>
    <w:pPr>
      <w:tabs>
        <w:tab w:val="center" w:pos="4680"/>
        <w:tab w:val="right" w:pos="9360"/>
      </w:tabs>
      <w:spacing w:line="240" w:lineRule="auto"/>
    </w:pPr>
  </w:style>
  <w:style w:type="character" w:customStyle="1" w:styleId="HeaderChar">
    <w:name w:val="Header Char"/>
    <w:basedOn w:val="DefaultParagraphFont"/>
    <w:link w:val="Header"/>
    <w:uiPriority w:val="99"/>
    <w:rsid w:val="007732B0"/>
  </w:style>
  <w:style w:type="paragraph" w:styleId="Footer">
    <w:name w:val="footer"/>
    <w:basedOn w:val="Normal"/>
    <w:link w:val="FooterChar"/>
    <w:uiPriority w:val="99"/>
    <w:unhideWhenUsed/>
    <w:rsid w:val="007732B0"/>
    <w:pPr>
      <w:tabs>
        <w:tab w:val="center" w:pos="4680"/>
        <w:tab w:val="right" w:pos="9360"/>
      </w:tabs>
      <w:spacing w:line="240" w:lineRule="auto"/>
    </w:pPr>
  </w:style>
  <w:style w:type="character" w:customStyle="1" w:styleId="FooterChar">
    <w:name w:val="Footer Char"/>
    <w:basedOn w:val="DefaultParagraphFont"/>
    <w:link w:val="Footer"/>
    <w:uiPriority w:val="99"/>
    <w:rsid w:val="00773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9945A-7634-4EAB-BE7A-0D6EBFD3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dmmillette</dc:creator>
  <cp:keywords/>
  <dc:description/>
  <cp:lastModifiedBy>Diana Sinnige</cp:lastModifiedBy>
  <cp:revision>3</cp:revision>
  <cp:lastPrinted>2014-10-24T00:29:00Z</cp:lastPrinted>
  <dcterms:created xsi:type="dcterms:W3CDTF">2015-03-25T16:52:00Z</dcterms:created>
  <dcterms:modified xsi:type="dcterms:W3CDTF">2023-12-07T19:05:00Z</dcterms:modified>
</cp:coreProperties>
</file>